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1BAD4" w14:textId="4BEB5E1D" w:rsidR="00BE7AEF" w:rsidRPr="00833486" w:rsidRDefault="00E345B8" w:rsidP="00D52FC5">
      <w:pPr>
        <w:spacing w:after="0"/>
        <w:rPr>
          <w:rFonts w:ascii="Georgia" w:hAnsi="Georgia"/>
          <w:b/>
          <w:color w:val="808080" w:themeColor="background1" w:themeShade="80"/>
          <w:sz w:val="32"/>
          <w:szCs w:val="32"/>
        </w:rPr>
      </w:pPr>
      <w:r w:rsidRPr="00833486">
        <w:rPr>
          <w:rFonts w:ascii="Georgia" w:hAnsi="Georgia"/>
          <w:b/>
          <w:color w:val="808080" w:themeColor="background1" w:themeShade="80"/>
          <w:sz w:val="32"/>
          <w:szCs w:val="32"/>
        </w:rPr>
        <w:t>2021</w:t>
      </w:r>
      <w:r w:rsidR="003D5989" w:rsidRPr="00833486">
        <w:rPr>
          <w:rFonts w:ascii="Georgia" w:hAnsi="Georgia"/>
          <w:b/>
          <w:color w:val="808080" w:themeColor="background1" w:themeShade="80"/>
          <w:sz w:val="32"/>
          <w:szCs w:val="32"/>
        </w:rPr>
        <w:t xml:space="preserve"> </w:t>
      </w:r>
      <w:r w:rsidR="00BE7AEF" w:rsidRPr="00833486">
        <w:rPr>
          <w:rFonts w:ascii="Georgia" w:hAnsi="Georgia"/>
          <w:b/>
          <w:color w:val="808080" w:themeColor="background1" w:themeShade="80"/>
          <w:sz w:val="32"/>
          <w:szCs w:val="32"/>
        </w:rPr>
        <w:t xml:space="preserve">State of Rental Housing in Cook County </w:t>
      </w:r>
    </w:p>
    <w:p w14:paraId="4B2941DD" w14:textId="6A8B2517" w:rsidR="00981FB1" w:rsidRPr="00833486" w:rsidRDefault="00981FB1" w:rsidP="00D52FC5">
      <w:pPr>
        <w:spacing w:after="0"/>
        <w:rPr>
          <w:rFonts w:ascii="Georgia" w:hAnsi="Georgia"/>
          <w:b/>
          <w:color w:val="808080" w:themeColor="background1" w:themeShade="80"/>
          <w:sz w:val="32"/>
          <w:szCs w:val="32"/>
        </w:rPr>
      </w:pPr>
      <w:r w:rsidRPr="00833486">
        <w:rPr>
          <w:rFonts w:ascii="Georgia" w:hAnsi="Georgia"/>
          <w:b/>
          <w:color w:val="808080" w:themeColor="background1" w:themeShade="80"/>
          <w:sz w:val="32"/>
          <w:szCs w:val="32"/>
        </w:rPr>
        <w:t>Data and Methodology</w:t>
      </w:r>
    </w:p>
    <w:p w14:paraId="692BEA2E" w14:textId="77777777" w:rsidR="006126D3" w:rsidRPr="00833486" w:rsidRDefault="008008C2" w:rsidP="00913CD6">
      <w:bookmarkStart w:id="0" w:name="_GoBack"/>
      <w:bookmarkEnd w:id="0"/>
      <w:r w:rsidRPr="00833486">
        <w:br/>
      </w:r>
    </w:p>
    <w:p w14:paraId="08D095E1" w14:textId="210E2B15" w:rsidR="00913CD6" w:rsidRPr="00833486" w:rsidRDefault="00913CD6" w:rsidP="00913CD6">
      <w:r w:rsidRPr="00833486">
        <w:t xml:space="preserve">This report brings together data products from the United States Census Bureau, including the American Community Survey (ACS) Public Use Microdata Sample (PUMS) data for the years 2000 through </w:t>
      </w:r>
      <w:r w:rsidR="00E345B8" w:rsidRPr="00833486">
        <w:t>2019</w:t>
      </w:r>
      <w:r w:rsidR="003D5989" w:rsidRPr="00833486">
        <w:t xml:space="preserve"> </w:t>
      </w:r>
      <w:r w:rsidRPr="00833486">
        <w:t xml:space="preserve">and American </w:t>
      </w:r>
      <w:proofErr w:type="spellStart"/>
      <w:r w:rsidRPr="00833486">
        <w:t>FactFinder</w:t>
      </w:r>
      <w:proofErr w:type="spellEnd"/>
      <w:r w:rsidRPr="00833486">
        <w:t xml:space="preserve"> summary data from 2000 through </w:t>
      </w:r>
      <w:r w:rsidR="003D5989" w:rsidRPr="00833486">
        <w:t>201</w:t>
      </w:r>
      <w:r w:rsidR="00E345B8" w:rsidRPr="00833486">
        <w:t>9</w:t>
      </w:r>
      <w:r w:rsidRPr="00833486">
        <w:t xml:space="preserve">. Please note, the time period of this report overlaps Census Bureau population estimates as ACS data prior to 2012 use 2000 Census population estimates while data from 2012 and after use 2010 Census population estimates. </w:t>
      </w:r>
    </w:p>
    <w:p w14:paraId="17482AC9" w14:textId="6C5193C4" w:rsidR="00011F21" w:rsidRPr="00833486" w:rsidRDefault="00913CD6" w:rsidP="00913CD6">
      <w:r w:rsidRPr="00833486">
        <w:t xml:space="preserve">The American Community Survey is a survey conducted every year by the Census Bureau based on a geographically stratified sample of about 1 percent of the United States population. PUMS data is a publicly available package of the original survey responses. PUMS data may be used to develop custom tables and conduct original analysis using standard statistical software. PUMS data are provided to the public at the Public Use Microdata Area (PUMA) level, which is a special geography that generally contains between 40,000 and 100,000 households. </w:t>
      </w:r>
      <w:r w:rsidR="002C1F08" w:rsidRPr="00833486">
        <w:t>Please note, data calculated for the City of Chicago excludes parts of</w:t>
      </w:r>
      <w:r w:rsidR="00067363" w:rsidRPr="00833486">
        <w:t xml:space="preserve"> O’Hare, Norwood Park, and Edison Park</w:t>
      </w:r>
      <w:r w:rsidR="002C1F08" w:rsidRPr="00833486">
        <w:t>. These areas are included in Suburban Cook County PUMAs.</w:t>
      </w:r>
    </w:p>
    <w:p w14:paraId="39996298" w14:textId="18D2317C" w:rsidR="00011F21" w:rsidRPr="00833486" w:rsidRDefault="00913CD6" w:rsidP="00913CD6">
      <w:r w:rsidRPr="00833486">
        <w:t>The 34 submarkets that IHS maps in this re</w:t>
      </w:r>
      <w:r w:rsidR="00011F21" w:rsidRPr="00833486">
        <w:t>port are based on PUMA geographies</w:t>
      </w:r>
      <w:r w:rsidRPr="00833486">
        <w:t>. Depending on the size of the geography that is being analyzed, ACS data are available in 1-year and 5-year varieties. In order to produce statistically valid estimates at smaller geographies, the Census Bureau combines multiple years of survey responses to increase the sample size. Each year, the Census Bureau publishes 1-year estimates for places with populations above 65,000</w:t>
      </w:r>
      <w:r w:rsidR="00663996" w:rsidRPr="00833486">
        <w:t xml:space="preserve"> </w:t>
      </w:r>
      <w:r w:rsidRPr="00833486">
        <w:t xml:space="preserve">and 5-year estimates for smaller geographies. For this analysis, the PUMS data was processed using IBM SPSS </w:t>
      </w:r>
      <w:r w:rsidR="003B7BA7" w:rsidRPr="00833486">
        <w:t>24</w:t>
      </w:r>
      <w:r w:rsidRPr="00833486">
        <w:t xml:space="preserve"> and the standard weights provided by the United States Census Bureau. All estimates are based on 1-year PUMS data. Any estimates presented at the PUMA level, such as</w:t>
      </w:r>
      <w:r w:rsidR="002C1F08" w:rsidRPr="00833486">
        <w:t xml:space="preserve"> </w:t>
      </w:r>
      <w:r w:rsidRPr="00833486">
        <w:t xml:space="preserve">the map in this report, are based on averages from </w:t>
      </w:r>
      <w:r w:rsidR="006126D3" w:rsidRPr="00833486">
        <w:t xml:space="preserve">2012 through 2014 and </w:t>
      </w:r>
      <w:r w:rsidR="00E345B8" w:rsidRPr="00833486">
        <w:t>2017</w:t>
      </w:r>
      <w:r w:rsidR="00471BFA" w:rsidRPr="00833486">
        <w:t xml:space="preserve"> </w:t>
      </w:r>
      <w:r w:rsidRPr="00833486">
        <w:t xml:space="preserve">through </w:t>
      </w:r>
      <w:r w:rsidR="00E345B8" w:rsidRPr="00833486">
        <w:t>2019</w:t>
      </w:r>
      <w:r w:rsidR="003D5989" w:rsidRPr="00833486">
        <w:t xml:space="preserve"> </w:t>
      </w:r>
      <w:r w:rsidRPr="00833486">
        <w:t xml:space="preserve">using 1-year PUMS data. </w:t>
      </w:r>
    </w:p>
    <w:p w14:paraId="715265E7" w14:textId="287E0224" w:rsidR="00D80F00" w:rsidRPr="00833486" w:rsidRDefault="00913CD6" w:rsidP="00913CD6">
      <w:r w:rsidRPr="00833486">
        <w:t xml:space="preserve">Income levels were calculated using household median income for the </w:t>
      </w:r>
      <w:r w:rsidR="002C1F08" w:rsidRPr="00833486">
        <w:t xml:space="preserve">Chicago-Naperville-Elgin </w:t>
      </w:r>
      <w:r w:rsidRPr="00833486">
        <w:t xml:space="preserve">metropolitan statistical area (MSA) tables using American </w:t>
      </w:r>
      <w:proofErr w:type="spellStart"/>
      <w:r w:rsidRPr="00833486">
        <w:t>FactFinder</w:t>
      </w:r>
      <w:proofErr w:type="spellEnd"/>
      <w:r w:rsidRPr="00833486">
        <w:t xml:space="preserve"> tables generated using 1-year ACS estimates. The Chicago-Naperville-</w:t>
      </w:r>
      <w:r w:rsidR="003B7BA7" w:rsidRPr="00833486">
        <w:t xml:space="preserve"> Elgin</w:t>
      </w:r>
      <w:r w:rsidRPr="00833486">
        <w:t xml:space="preserve"> MSA includes the Illinois counties of Cook, DeKalb, DuPage, Grundy, Kane, Kendall, Lake, McHenry and Will, the Indiana counties of Jasper, Lake, Newton and Porter and Kenosha County in Wisconsin</w:t>
      </w:r>
      <w:r w:rsidR="002C1F08" w:rsidRPr="00833486">
        <w:t>. The appendix of the</w:t>
      </w:r>
      <w:r w:rsidRPr="00833486">
        <w:t xml:space="preserve"> report also uses an additional AMI category, splitting “Greater than 120% AMI” into categories for “120-200% AMI” and “Greater than 200% AMI.” Table 1 displays median income values by year, followed by Table 2 displaying income levels for 201</w:t>
      </w:r>
      <w:r w:rsidR="00E345B8" w:rsidRPr="00833486">
        <w:t>9</w:t>
      </w:r>
      <w:r w:rsidRPr="00833486">
        <w:t>.</w:t>
      </w:r>
    </w:p>
    <w:p w14:paraId="6BD5A8A0" w14:textId="77777777" w:rsidR="006126D3" w:rsidRPr="00833486" w:rsidRDefault="006126D3" w:rsidP="00913CD6"/>
    <w:p w14:paraId="53414C7F" w14:textId="77777777" w:rsidR="006126D3" w:rsidRPr="00833486" w:rsidRDefault="006126D3" w:rsidP="00913CD6"/>
    <w:p w14:paraId="011C4742" w14:textId="24A5F6DF" w:rsidR="00913CD6" w:rsidRPr="00833486" w:rsidRDefault="00913CD6" w:rsidP="00913CD6">
      <w:r w:rsidRPr="00833486">
        <w:lastRenderedPageBreak/>
        <w:t>Table 1. Chicago Metropolitan Statistical Area Household Median Income</w:t>
      </w:r>
    </w:p>
    <w:tbl>
      <w:tblPr>
        <w:tblStyle w:val="TableGrid"/>
        <w:tblW w:w="10023" w:type="dxa"/>
        <w:tblLayout w:type="fixed"/>
        <w:tblLook w:val="04A0" w:firstRow="1" w:lastRow="0" w:firstColumn="1" w:lastColumn="0" w:noHBand="0" w:noVBand="1"/>
      </w:tblPr>
      <w:tblGrid>
        <w:gridCol w:w="1243"/>
        <w:gridCol w:w="878"/>
        <w:gridCol w:w="878"/>
        <w:gridCol w:w="878"/>
        <w:gridCol w:w="878"/>
        <w:gridCol w:w="878"/>
        <w:gridCol w:w="878"/>
        <w:gridCol w:w="878"/>
        <w:gridCol w:w="878"/>
        <w:gridCol w:w="878"/>
        <w:gridCol w:w="878"/>
      </w:tblGrid>
      <w:tr w:rsidR="00E345B8" w:rsidRPr="00833486" w14:paraId="07AA4A75" w14:textId="07F8A9CB" w:rsidTr="00E345B8">
        <w:trPr>
          <w:trHeight w:val="122"/>
        </w:trPr>
        <w:tc>
          <w:tcPr>
            <w:tcW w:w="1243" w:type="dxa"/>
            <w:noWrap/>
            <w:hideMark/>
          </w:tcPr>
          <w:p w14:paraId="34E657AA" w14:textId="77777777" w:rsidR="00E345B8" w:rsidRPr="00833486" w:rsidRDefault="00E345B8">
            <w:pPr>
              <w:rPr>
                <w:sz w:val="20"/>
              </w:rPr>
            </w:pPr>
            <w:r w:rsidRPr="00833486">
              <w:rPr>
                <w:sz w:val="20"/>
              </w:rPr>
              <w:t>Year</w:t>
            </w:r>
          </w:p>
        </w:tc>
        <w:tc>
          <w:tcPr>
            <w:tcW w:w="878" w:type="dxa"/>
            <w:noWrap/>
            <w:hideMark/>
          </w:tcPr>
          <w:p w14:paraId="03BDE071" w14:textId="77777777" w:rsidR="00E345B8" w:rsidRPr="00833486" w:rsidRDefault="00E345B8" w:rsidP="005D4B8B">
            <w:pPr>
              <w:jc w:val="center"/>
              <w:rPr>
                <w:sz w:val="20"/>
              </w:rPr>
            </w:pPr>
            <w:r w:rsidRPr="00833486">
              <w:rPr>
                <w:sz w:val="20"/>
              </w:rPr>
              <w:t>2007</w:t>
            </w:r>
          </w:p>
        </w:tc>
        <w:tc>
          <w:tcPr>
            <w:tcW w:w="878" w:type="dxa"/>
            <w:noWrap/>
            <w:hideMark/>
          </w:tcPr>
          <w:p w14:paraId="2657F933" w14:textId="77777777" w:rsidR="00E345B8" w:rsidRPr="00833486" w:rsidRDefault="00E345B8" w:rsidP="005D4B8B">
            <w:pPr>
              <w:jc w:val="center"/>
              <w:rPr>
                <w:sz w:val="20"/>
              </w:rPr>
            </w:pPr>
            <w:r w:rsidRPr="00833486">
              <w:rPr>
                <w:sz w:val="20"/>
              </w:rPr>
              <w:t>2011</w:t>
            </w:r>
          </w:p>
        </w:tc>
        <w:tc>
          <w:tcPr>
            <w:tcW w:w="878" w:type="dxa"/>
            <w:noWrap/>
            <w:hideMark/>
          </w:tcPr>
          <w:p w14:paraId="17FFE6D2" w14:textId="77777777" w:rsidR="00E345B8" w:rsidRPr="00833486" w:rsidRDefault="00E345B8" w:rsidP="005D4B8B">
            <w:pPr>
              <w:jc w:val="center"/>
              <w:rPr>
                <w:sz w:val="20"/>
              </w:rPr>
            </w:pPr>
            <w:r w:rsidRPr="00833486">
              <w:rPr>
                <w:sz w:val="20"/>
              </w:rPr>
              <w:t>2012</w:t>
            </w:r>
          </w:p>
        </w:tc>
        <w:tc>
          <w:tcPr>
            <w:tcW w:w="878" w:type="dxa"/>
            <w:noWrap/>
            <w:hideMark/>
          </w:tcPr>
          <w:p w14:paraId="4F46B47B" w14:textId="77777777" w:rsidR="00E345B8" w:rsidRPr="00833486" w:rsidRDefault="00E345B8" w:rsidP="005D4B8B">
            <w:pPr>
              <w:jc w:val="center"/>
              <w:rPr>
                <w:sz w:val="20"/>
              </w:rPr>
            </w:pPr>
            <w:r w:rsidRPr="00833486">
              <w:rPr>
                <w:sz w:val="20"/>
              </w:rPr>
              <w:t>2013</w:t>
            </w:r>
          </w:p>
        </w:tc>
        <w:tc>
          <w:tcPr>
            <w:tcW w:w="878" w:type="dxa"/>
            <w:noWrap/>
            <w:hideMark/>
          </w:tcPr>
          <w:p w14:paraId="6686BEFE" w14:textId="77777777" w:rsidR="00E345B8" w:rsidRPr="00833486" w:rsidRDefault="00E345B8" w:rsidP="005D4B8B">
            <w:pPr>
              <w:jc w:val="center"/>
              <w:rPr>
                <w:sz w:val="20"/>
              </w:rPr>
            </w:pPr>
            <w:r w:rsidRPr="00833486">
              <w:rPr>
                <w:sz w:val="20"/>
              </w:rPr>
              <w:t>2014</w:t>
            </w:r>
          </w:p>
        </w:tc>
        <w:tc>
          <w:tcPr>
            <w:tcW w:w="878" w:type="dxa"/>
            <w:noWrap/>
            <w:hideMark/>
          </w:tcPr>
          <w:p w14:paraId="5A59F26F" w14:textId="77777777" w:rsidR="00E345B8" w:rsidRPr="00833486" w:rsidRDefault="00E345B8" w:rsidP="005D4B8B">
            <w:pPr>
              <w:jc w:val="center"/>
              <w:rPr>
                <w:sz w:val="20"/>
              </w:rPr>
            </w:pPr>
            <w:r w:rsidRPr="00833486">
              <w:rPr>
                <w:sz w:val="20"/>
              </w:rPr>
              <w:t>2015</w:t>
            </w:r>
          </w:p>
        </w:tc>
        <w:tc>
          <w:tcPr>
            <w:tcW w:w="878" w:type="dxa"/>
            <w:noWrap/>
            <w:hideMark/>
          </w:tcPr>
          <w:p w14:paraId="47B67633" w14:textId="77777777" w:rsidR="00E345B8" w:rsidRPr="00833486" w:rsidRDefault="00E345B8" w:rsidP="005D4B8B">
            <w:pPr>
              <w:jc w:val="center"/>
              <w:rPr>
                <w:sz w:val="20"/>
              </w:rPr>
            </w:pPr>
            <w:r w:rsidRPr="00833486">
              <w:rPr>
                <w:sz w:val="20"/>
              </w:rPr>
              <w:t>2016</w:t>
            </w:r>
          </w:p>
        </w:tc>
        <w:tc>
          <w:tcPr>
            <w:tcW w:w="878" w:type="dxa"/>
          </w:tcPr>
          <w:p w14:paraId="3DE14F41" w14:textId="77777777" w:rsidR="00E345B8" w:rsidRPr="00833486" w:rsidRDefault="00E345B8" w:rsidP="005D4B8B">
            <w:pPr>
              <w:jc w:val="center"/>
              <w:rPr>
                <w:sz w:val="20"/>
              </w:rPr>
            </w:pPr>
            <w:r w:rsidRPr="00833486">
              <w:rPr>
                <w:sz w:val="20"/>
              </w:rPr>
              <w:t>2017</w:t>
            </w:r>
          </w:p>
        </w:tc>
        <w:tc>
          <w:tcPr>
            <w:tcW w:w="878" w:type="dxa"/>
          </w:tcPr>
          <w:p w14:paraId="70DEAFAC" w14:textId="194FF581" w:rsidR="00E345B8" w:rsidRPr="00833486" w:rsidRDefault="00E345B8" w:rsidP="005D4B8B">
            <w:pPr>
              <w:jc w:val="center"/>
              <w:rPr>
                <w:sz w:val="20"/>
              </w:rPr>
            </w:pPr>
            <w:r w:rsidRPr="00833486">
              <w:rPr>
                <w:sz w:val="20"/>
              </w:rPr>
              <w:t>2018</w:t>
            </w:r>
          </w:p>
        </w:tc>
        <w:tc>
          <w:tcPr>
            <w:tcW w:w="878" w:type="dxa"/>
          </w:tcPr>
          <w:p w14:paraId="69969813" w14:textId="4C46EF10" w:rsidR="00E345B8" w:rsidRPr="00833486" w:rsidRDefault="00E345B8" w:rsidP="005D4B8B">
            <w:pPr>
              <w:jc w:val="center"/>
              <w:rPr>
                <w:sz w:val="20"/>
              </w:rPr>
            </w:pPr>
            <w:r w:rsidRPr="00833486">
              <w:rPr>
                <w:sz w:val="20"/>
              </w:rPr>
              <w:t>2019</w:t>
            </w:r>
          </w:p>
        </w:tc>
      </w:tr>
      <w:tr w:rsidR="00E345B8" w:rsidRPr="00833486" w14:paraId="4707F06A" w14:textId="51550E1B" w:rsidTr="00E345B8">
        <w:trPr>
          <w:trHeight w:val="122"/>
        </w:trPr>
        <w:tc>
          <w:tcPr>
            <w:tcW w:w="1243" w:type="dxa"/>
            <w:noWrap/>
            <w:hideMark/>
          </w:tcPr>
          <w:p w14:paraId="2AF715D0" w14:textId="77777777" w:rsidR="00E345B8" w:rsidRPr="00833486" w:rsidRDefault="00E345B8">
            <w:pPr>
              <w:rPr>
                <w:sz w:val="20"/>
              </w:rPr>
            </w:pPr>
            <w:r w:rsidRPr="00833486">
              <w:rPr>
                <w:sz w:val="20"/>
              </w:rPr>
              <w:t>Median Household Income</w:t>
            </w:r>
          </w:p>
        </w:tc>
        <w:tc>
          <w:tcPr>
            <w:tcW w:w="878" w:type="dxa"/>
            <w:noWrap/>
            <w:hideMark/>
          </w:tcPr>
          <w:p w14:paraId="640CA5F3" w14:textId="690EF9D6" w:rsidR="00E345B8" w:rsidRPr="00833486" w:rsidRDefault="00E345B8" w:rsidP="005D4B8B">
            <w:pPr>
              <w:rPr>
                <w:sz w:val="20"/>
              </w:rPr>
            </w:pPr>
            <w:r w:rsidRPr="00833486">
              <w:rPr>
                <w:sz w:val="20"/>
              </w:rPr>
              <w:t xml:space="preserve"> $59,255      </w:t>
            </w:r>
          </w:p>
        </w:tc>
        <w:tc>
          <w:tcPr>
            <w:tcW w:w="878" w:type="dxa"/>
            <w:noWrap/>
            <w:hideMark/>
          </w:tcPr>
          <w:p w14:paraId="54474FDD" w14:textId="202D1B44" w:rsidR="00E345B8" w:rsidRPr="00833486" w:rsidRDefault="00E345B8" w:rsidP="004B3EA0">
            <w:pPr>
              <w:rPr>
                <w:sz w:val="20"/>
              </w:rPr>
            </w:pPr>
            <w:r w:rsidRPr="00833486">
              <w:rPr>
                <w:sz w:val="20"/>
              </w:rPr>
              <w:t xml:space="preserve"> $57,267</w:t>
            </w:r>
          </w:p>
        </w:tc>
        <w:tc>
          <w:tcPr>
            <w:tcW w:w="878" w:type="dxa"/>
            <w:noWrap/>
            <w:hideMark/>
          </w:tcPr>
          <w:p w14:paraId="4ECFC366" w14:textId="2D712076" w:rsidR="00E345B8" w:rsidRPr="00833486" w:rsidRDefault="00E345B8" w:rsidP="005D4B8B">
            <w:pPr>
              <w:rPr>
                <w:sz w:val="20"/>
              </w:rPr>
            </w:pPr>
            <w:r w:rsidRPr="00833486">
              <w:rPr>
                <w:sz w:val="20"/>
              </w:rPr>
              <w:t xml:space="preserve"> $59,261</w:t>
            </w:r>
          </w:p>
        </w:tc>
        <w:tc>
          <w:tcPr>
            <w:tcW w:w="878" w:type="dxa"/>
            <w:noWrap/>
            <w:hideMark/>
          </w:tcPr>
          <w:p w14:paraId="13881266" w14:textId="69018EFF" w:rsidR="00E345B8" w:rsidRPr="00833486" w:rsidRDefault="00E345B8" w:rsidP="005D4B8B">
            <w:pPr>
              <w:rPr>
                <w:sz w:val="20"/>
              </w:rPr>
            </w:pPr>
            <w:r w:rsidRPr="00833486">
              <w:rPr>
                <w:sz w:val="20"/>
              </w:rPr>
              <w:t xml:space="preserve"> $60,564</w:t>
            </w:r>
          </w:p>
        </w:tc>
        <w:tc>
          <w:tcPr>
            <w:tcW w:w="878" w:type="dxa"/>
            <w:noWrap/>
            <w:hideMark/>
          </w:tcPr>
          <w:p w14:paraId="66368D92" w14:textId="208147E2" w:rsidR="00E345B8" w:rsidRPr="00833486" w:rsidRDefault="00E345B8" w:rsidP="004B3EA0">
            <w:pPr>
              <w:rPr>
                <w:sz w:val="20"/>
              </w:rPr>
            </w:pPr>
            <w:r w:rsidRPr="00833486">
              <w:rPr>
                <w:sz w:val="20"/>
              </w:rPr>
              <w:t xml:space="preserve"> $61,598 </w:t>
            </w:r>
          </w:p>
        </w:tc>
        <w:tc>
          <w:tcPr>
            <w:tcW w:w="878" w:type="dxa"/>
            <w:noWrap/>
            <w:hideMark/>
          </w:tcPr>
          <w:p w14:paraId="55E214EC" w14:textId="066AB4CC" w:rsidR="00E345B8" w:rsidRPr="00833486" w:rsidRDefault="00E345B8" w:rsidP="004B3EA0">
            <w:pPr>
              <w:rPr>
                <w:sz w:val="20"/>
              </w:rPr>
            </w:pPr>
            <w:r w:rsidRPr="00833486">
              <w:rPr>
                <w:sz w:val="20"/>
              </w:rPr>
              <w:t xml:space="preserve"> $63,153 </w:t>
            </w:r>
          </w:p>
        </w:tc>
        <w:tc>
          <w:tcPr>
            <w:tcW w:w="878" w:type="dxa"/>
            <w:noWrap/>
            <w:hideMark/>
          </w:tcPr>
          <w:p w14:paraId="5D497760" w14:textId="6F497C6A" w:rsidR="00E345B8" w:rsidRPr="00833486" w:rsidRDefault="00E345B8" w:rsidP="004B3EA0">
            <w:pPr>
              <w:rPr>
                <w:sz w:val="20"/>
              </w:rPr>
            </w:pPr>
            <w:r w:rsidRPr="00833486">
              <w:rPr>
                <w:sz w:val="20"/>
              </w:rPr>
              <w:t xml:space="preserve"> $66,020 </w:t>
            </w:r>
          </w:p>
        </w:tc>
        <w:tc>
          <w:tcPr>
            <w:tcW w:w="878" w:type="dxa"/>
          </w:tcPr>
          <w:p w14:paraId="34226338" w14:textId="77777777" w:rsidR="00E345B8" w:rsidRPr="00833486" w:rsidRDefault="00E345B8" w:rsidP="004B3EA0">
            <w:pPr>
              <w:rPr>
                <w:sz w:val="20"/>
              </w:rPr>
            </w:pPr>
          </w:p>
          <w:p w14:paraId="66758F50" w14:textId="7D2CA0D1" w:rsidR="00E345B8" w:rsidRPr="00833486" w:rsidRDefault="00E345B8" w:rsidP="004B3EA0">
            <w:pPr>
              <w:rPr>
                <w:sz w:val="20"/>
              </w:rPr>
            </w:pPr>
            <w:r w:rsidRPr="00833486">
              <w:rPr>
                <w:sz w:val="20"/>
              </w:rPr>
              <w:t>$68,403</w:t>
            </w:r>
          </w:p>
        </w:tc>
        <w:tc>
          <w:tcPr>
            <w:tcW w:w="878" w:type="dxa"/>
          </w:tcPr>
          <w:p w14:paraId="6C477A68" w14:textId="77777777" w:rsidR="00E345B8" w:rsidRPr="00833486" w:rsidRDefault="00E345B8" w:rsidP="004B3EA0">
            <w:pPr>
              <w:rPr>
                <w:sz w:val="20"/>
              </w:rPr>
            </w:pPr>
          </w:p>
          <w:p w14:paraId="4C3939E6" w14:textId="27471042" w:rsidR="00E345B8" w:rsidRPr="00833486" w:rsidRDefault="00E345B8" w:rsidP="004B3EA0">
            <w:pPr>
              <w:rPr>
                <w:sz w:val="20"/>
              </w:rPr>
            </w:pPr>
            <w:r w:rsidRPr="00833486">
              <w:rPr>
                <w:sz w:val="20"/>
              </w:rPr>
              <w:t>$70,760</w:t>
            </w:r>
          </w:p>
        </w:tc>
        <w:tc>
          <w:tcPr>
            <w:tcW w:w="878" w:type="dxa"/>
          </w:tcPr>
          <w:p w14:paraId="091A130B" w14:textId="77777777" w:rsidR="00E345B8" w:rsidRPr="00833486" w:rsidRDefault="00E345B8" w:rsidP="004B3EA0">
            <w:pPr>
              <w:rPr>
                <w:sz w:val="20"/>
              </w:rPr>
            </w:pPr>
          </w:p>
          <w:p w14:paraId="470B0FA7" w14:textId="77E784DF" w:rsidR="00E345B8" w:rsidRPr="00833486" w:rsidRDefault="00E345B8" w:rsidP="004B3EA0">
            <w:pPr>
              <w:rPr>
                <w:sz w:val="20"/>
              </w:rPr>
            </w:pPr>
            <w:r w:rsidRPr="00833486">
              <w:rPr>
                <w:sz w:val="20"/>
              </w:rPr>
              <w:t>$75,379</w:t>
            </w:r>
          </w:p>
        </w:tc>
      </w:tr>
    </w:tbl>
    <w:p w14:paraId="5BAC39EB" w14:textId="1079D8E0" w:rsidR="006126D3" w:rsidRPr="00833486" w:rsidRDefault="00950B0D" w:rsidP="006126D3">
      <w:r w:rsidRPr="00833486">
        <w:rPr>
          <w:rFonts w:ascii="Calibri" w:eastAsia="Times New Roman" w:hAnsi="Calibri" w:cs="Times New Roman"/>
          <w:color w:val="000000"/>
          <w:sz w:val="18"/>
          <w:szCs w:val="18"/>
        </w:rPr>
        <w:t>Source: American Community Survey Data 1-Year, 2007-</w:t>
      </w:r>
      <w:r w:rsidR="003D5989" w:rsidRPr="00833486">
        <w:rPr>
          <w:rFonts w:ascii="Calibri" w:eastAsia="Times New Roman" w:hAnsi="Calibri" w:cs="Times New Roman"/>
          <w:color w:val="000000"/>
          <w:sz w:val="18"/>
          <w:szCs w:val="18"/>
        </w:rPr>
        <w:t>201</w:t>
      </w:r>
      <w:r w:rsidR="00E345B8" w:rsidRPr="00833486">
        <w:rPr>
          <w:rFonts w:ascii="Calibri" w:eastAsia="Times New Roman" w:hAnsi="Calibri" w:cs="Times New Roman"/>
          <w:color w:val="000000"/>
          <w:sz w:val="18"/>
          <w:szCs w:val="18"/>
        </w:rPr>
        <w:t>9</w:t>
      </w:r>
    </w:p>
    <w:p w14:paraId="2BAEAD56" w14:textId="69A9ED55" w:rsidR="004B3EA0" w:rsidRPr="00833486" w:rsidRDefault="004B3EA0" w:rsidP="006126D3">
      <w:pPr>
        <w:rPr>
          <w:rFonts w:ascii="Calibri" w:eastAsia="Times New Roman" w:hAnsi="Calibri" w:cs="Times New Roman"/>
          <w:color w:val="000000"/>
          <w:sz w:val="18"/>
          <w:szCs w:val="18"/>
        </w:rPr>
      </w:pPr>
      <w:r w:rsidRPr="00833486">
        <w:t xml:space="preserve">Table 2. </w:t>
      </w:r>
      <w:r w:rsidR="00E345B8" w:rsidRPr="00833486">
        <w:t>2019</w:t>
      </w:r>
      <w:r w:rsidR="003D5989" w:rsidRPr="00833486">
        <w:t xml:space="preserve"> </w:t>
      </w:r>
      <w:r w:rsidRPr="00833486">
        <w:t>Income Levels based on Chicago Metropolitan Statistical Area Household Median Income</w:t>
      </w:r>
    </w:p>
    <w:tbl>
      <w:tblPr>
        <w:tblW w:w="9355" w:type="dxa"/>
        <w:tblLayout w:type="fixed"/>
        <w:tblLook w:val="04A0" w:firstRow="1" w:lastRow="0" w:firstColumn="1" w:lastColumn="0" w:noHBand="0" w:noVBand="1"/>
      </w:tblPr>
      <w:tblGrid>
        <w:gridCol w:w="1255"/>
        <w:gridCol w:w="1710"/>
        <w:gridCol w:w="1620"/>
        <w:gridCol w:w="1530"/>
        <w:gridCol w:w="1620"/>
        <w:gridCol w:w="1620"/>
      </w:tblGrid>
      <w:tr w:rsidR="004B3EA0" w:rsidRPr="00833486" w14:paraId="1ABC14BE" w14:textId="77777777" w:rsidTr="00A50CA4">
        <w:trPr>
          <w:trHeight w:val="30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80F3"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&lt;30% AMI</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72BD9C6"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30-50% AMI</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84E3F33"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50-80% AMI</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CDB38D5"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80-120% AMI</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1200AC9"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120-200% AMI</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54A9ED5"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&gt;200% AMI</w:t>
            </w:r>
          </w:p>
        </w:tc>
      </w:tr>
      <w:tr w:rsidR="004B3EA0" w:rsidRPr="00833486" w14:paraId="3A575C12" w14:textId="77777777" w:rsidTr="00A50CA4">
        <w:trPr>
          <w:trHeight w:val="60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3C747BD0" w14:textId="55518FE5" w:rsidR="004B3EA0" w:rsidRPr="00833486" w:rsidRDefault="00E345B8"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$0.00- $22,613.69</w:t>
            </w:r>
          </w:p>
        </w:tc>
        <w:tc>
          <w:tcPr>
            <w:tcW w:w="1710" w:type="dxa"/>
            <w:tcBorders>
              <w:top w:val="nil"/>
              <w:left w:val="nil"/>
              <w:bottom w:val="single" w:sz="4" w:space="0" w:color="auto"/>
              <w:right w:val="single" w:sz="4" w:space="0" w:color="auto"/>
            </w:tcBorders>
            <w:shd w:val="clear" w:color="auto" w:fill="auto"/>
            <w:vAlign w:val="center"/>
            <w:hideMark/>
          </w:tcPr>
          <w:p w14:paraId="5BBEBCA4" w14:textId="1E3A7D74" w:rsidR="004B3EA0" w:rsidRPr="00833486" w:rsidRDefault="00E345B8"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$22,613.70-$37,689.49</w:t>
            </w:r>
          </w:p>
        </w:tc>
        <w:tc>
          <w:tcPr>
            <w:tcW w:w="1620" w:type="dxa"/>
            <w:tcBorders>
              <w:top w:val="nil"/>
              <w:left w:val="nil"/>
              <w:bottom w:val="single" w:sz="4" w:space="0" w:color="auto"/>
              <w:right w:val="single" w:sz="4" w:space="0" w:color="auto"/>
            </w:tcBorders>
            <w:shd w:val="clear" w:color="auto" w:fill="auto"/>
            <w:vAlign w:val="center"/>
            <w:hideMark/>
          </w:tcPr>
          <w:p w14:paraId="3F57D6DD" w14:textId="3098B5FD" w:rsidR="004B3EA0" w:rsidRPr="00833486" w:rsidRDefault="00E345B8"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$37,689.50-$60,303.19</w:t>
            </w:r>
          </w:p>
        </w:tc>
        <w:tc>
          <w:tcPr>
            <w:tcW w:w="1530" w:type="dxa"/>
            <w:tcBorders>
              <w:top w:val="nil"/>
              <w:left w:val="nil"/>
              <w:bottom w:val="single" w:sz="4" w:space="0" w:color="auto"/>
              <w:right w:val="single" w:sz="4" w:space="0" w:color="auto"/>
            </w:tcBorders>
            <w:shd w:val="clear" w:color="auto" w:fill="auto"/>
            <w:vAlign w:val="center"/>
            <w:hideMark/>
          </w:tcPr>
          <w:p w14:paraId="27DABCB8" w14:textId="1AF89C01" w:rsidR="004B3EA0" w:rsidRPr="00833486" w:rsidRDefault="00E345B8"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$60,303.20-$90,454.79</w:t>
            </w:r>
          </w:p>
        </w:tc>
        <w:tc>
          <w:tcPr>
            <w:tcW w:w="1620" w:type="dxa"/>
            <w:tcBorders>
              <w:top w:val="nil"/>
              <w:left w:val="nil"/>
              <w:bottom w:val="single" w:sz="4" w:space="0" w:color="auto"/>
              <w:right w:val="single" w:sz="4" w:space="0" w:color="auto"/>
            </w:tcBorders>
            <w:shd w:val="clear" w:color="auto" w:fill="auto"/>
            <w:vAlign w:val="center"/>
            <w:hideMark/>
          </w:tcPr>
          <w:p w14:paraId="0D86AFEB" w14:textId="33FB231F" w:rsidR="004B3EA0" w:rsidRPr="00833486" w:rsidRDefault="00E345B8"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$90,454.80-$150,757.99</w:t>
            </w:r>
          </w:p>
        </w:tc>
        <w:tc>
          <w:tcPr>
            <w:tcW w:w="1620" w:type="dxa"/>
            <w:tcBorders>
              <w:top w:val="nil"/>
              <w:left w:val="nil"/>
              <w:bottom w:val="single" w:sz="4" w:space="0" w:color="auto"/>
              <w:right w:val="single" w:sz="4" w:space="0" w:color="auto"/>
            </w:tcBorders>
            <w:shd w:val="clear" w:color="auto" w:fill="auto"/>
            <w:vAlign w:val="center"/>
            <w:hideMark/>
          </w:tcPr>
          <w:p w14:paraId="03179262" w14:textId="21D1CDC0" w:rsidR="004B3EA0" w:rsidRPr="00833486" w:rsidRDefault="00E345B8"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$150,758.00 and Greater</w:t>
            </w:r>
          </w:p>
        </w:tc>
      </w:tr>
    </w:tbl>
    <w:p w14:paraId="4473E74C" w14:textId="64541B3F" w:rsidR="00BE7AEF" w:rsidRPr="00833486" w:rsidRDefault="006B761A" w:rsidP="004B3EA0">
      <w:r w:rsidRPr="00833486">
        <w:rPr>
          <w:rFonts w:ascii="Calibri" w:eastAsia="Times New Roman" w:hAnsi="Calibri" w:cs="Times New Roman"/>
          <w:color w:val="000000"/>
          <w:sz w:val="18"/>
          <w:szCs w:val="18"/>
        </w:rPr>
        <w:t xml:space="preserve">Source: American Community Survey Data 1-Year, </w:t>
      </w:r>
      <w:r w:rsidR="003D5989" w:rsidRPr="00833486">
        <w:rPr>
          <w:rFonts w:ascii="Calibri" w:eastAsia="Times New Roman" w:hAnsi="Calibri" w:cs="Times New Roman"/>
          <w:color w:val="000000"/>
          <w:sz w:val="18"/>
          <w:szCs w:val="18"/>
        </w:rPr>
        <w:t>201</w:t>
      </w:r>
      <w:r w:rsidR="00E345B8" w:rsidRPr="00833486">
        <w:rPr>
          <w:rFonts w:ascii="Calibri" w:eastAsia="Times New Roman" w:hAnsi="Calibri" w:cs="Times New Roman"/>
          <w:color w:val="000000"/>
          <w:sz w:val="18"/>
          <w:szCs w:val="18"/>
        </w:rPr>
        <w:t>9</w:t>
      </w:r>
    </w:p>
    <w:p w14:paraId="2D7D2767" w14:textId="52458793" w:rsidR="00913CD6" w:rsidRPr="00833486" w:rsidRDefault="00913CD6" w:rsidP="00913CD6">
      <w:r w:rsidRPr="00833486">
        <w:rPr>
          <w:b/>
        </w:rPr>
        <w:t>Rent Burden</w:t>
      </w:r>
      <w:r w:rsidRPr="00833486">
        <w:t xml:space="preserve"> calculates the annual percentage of household income spent toward rent payments. This report classifies any household with zero or negative values for household income as “Severely Burdened.” Additionally zero or missing values for monthly rent payments are classified as “No Burden,” as are households with missing values for household income. This methodology is in line with comparable analysis, including the Joint Center for Housing Studies at Harvard University’s annual report on the national rental housing market</w:t>
      </w:r>
      <w:r w:rsidRPr="00833486">
        <w:rPr>
          <w:rStyle w:val="FootnoteReference"/>
        </w:rPr>
        <w:footnoteReference w:id="1"/>
      </w:r>
      <w:r w:rsidRPr="00833486">
        <w:t xml:space="preserve">. </w:t>
      </w:r>
    </w:p>
    <w:p w14:paraId="46415FFC" w14:textId="0E5501F1" w:rsidR="00011F21" w:rsidRPr="00833486" w:rsidRDefault="00011F21" w:rsidP="00913CD6">
      <w:r w:rsidRPr="00833486">
        <w:rPr>
          <w:b/>
        </w:rPr>
        <w:t xml:space="preserve">Rental </w:t>
      </w:r>
      <w:r w:rsidR="00204745" w:rsidRPr="00833486">
        <w:rPr>
          <w:b/>
        </w:rPr>
        <w:t>S</w:t>
      </w:r>
      <w:r w:rsidRPr="00833486">
        <w:rPr>
          <w:b/>
        </w:rPr>
        <w:t>tock</w:t>
      </w:r>
      <w:r w:rsidRPr="00833486">
        <w:t xml:space="preserve"> is calculated by combining renter-occupied housing units and vacant housing units for rent. More specifically, ba</w:t>
      </w:r>
      <w:r w:rsidR="00E345B8" w:rsidRPr="00833486">
        <w:t>sed on PUMS Data Dictionary 2019</w:t>
      </w:r>
      <w:r w:rsidRPr="00833486">
        <w:t>, it includes renter-occupied housing units, renter-occupied housing units without payment of rent, vacant housing units for rent and rented housing units that are not occupied.</w:t>
      </w:r>
    </w:p>
    <w:p w14:paraId="6C598D22" w14:textId="50EE0831" w:rsidR="00011F21" w:rsidRPr="00833486" w:rsidRDefault="00913CD6" w:rsidP="00913CD6">
      <w:r w:rsidRPr="00833486">
        <w:rPr>
          <w:b/>
        </w:rPr>
        <w:t xml:space="preserve">The </w:t>
      </w:r>
      <w:r w:rsidR="00204745" w:rsidRPr="00833486">
        <w:rPr>
          <w:b/>
        </w:rPr>
        <w:t>A</w:t>
      </w:r>
      <w:r w:rsidRPr="00833486">
        <w:rPr>
          <w:b/>
        </w:rPr>
        <w:t xml:space="preserve">ffordability </w:t>
      </w:r>
      <w:r w:rsidR="00204745" w:rsidRPr="00833486">
        <w:rPr>
          <w:b/>
        </w:rPr>
        <w:t>G</w:t>
      </w:r>
      <w:r w:rsidRPr="00833486">
        <w:rPr>
          <w:b/>
        </w:rPr>
        <w:t>ap</w:t>
      </w:r>
      <w:r w:rsidRPr="00833486">
        <w:t xml:space="preserve"> represents the difference between the number of renter households that demand affordable housing and the available supply of affordable rental housing. In this analysis, housing affordability is marked to the federal poverty threshold for a four-person household in a given year. An affordable unit is a unit with gross rent less than or equal to 30 percent of the income of a household earning 150 percent of the poverty level. A household that demands affordable housing is any household with income less than or equal to 150 percent of the poverty level, or a household paying gross rent that is affordable</w:t>
      </w:r>
      <w:r w:rsidR="00204745" w:rsidRPr="00833486">
        <w:t xml:space="preserve"> to households earning 150 percent of the poverty level</w:t>
      </w:r>
      <w:r w:rsidRPr="00833486">
        <w:t>.</w:t>
      </w:r>
      <w:r w:rsidR="00204745" w:rsidRPr="00833486">
        <w:t xml:space="preserve"> This means that affordable demand includes higher-income households.</w:t>
      </w:r>
      <w:r w:rsidRPr="00833486">
        <w:t xml:space="preserve"> The affordability gap is the difference between these two figures. </w:t>
      </w:r>
    </w:p>
    <w:p w14:paraId="355D5743" w14:textId="70A2719C" w:rsidR="00913CD6" w:rsidRPr="00833486" w:rsidRDefault="00913CD6" w:rsidP="00913CD6">
      <w:r w:rsidRPr="00833486">
        <w:t>This report provides affordability gap data for the 34 PUMA-level submarkets in Cook County as well as an aggregate total at the county level</w:t>
      </w:r>
      <w:r w:rsidR="00204745" w:rsidRPr="00833486">
        <w:t>, for the City of Chicago, and for Suburban Cook County</w:t>
      </w:r>
      <w:r w:rsidRPr="00833486">
        <w:t xml:space="preserve">. </w:t>
      </w:r>
      <w:r w:rsidR="00011F21" w:rsidRPr="00833486">
        <w:t>Table 3</w:t>
      </w:r>
      <w:r w:rsidRPr="00833486">
        <w:t xml:space="preserve"> below displays the figures used to calculate affordable units and households that demand affordable rental housing.</w:t>
      </w:r>
    </w:p>
    <w:p w14:paraId="58E96BB2" w14:textId="2EC3E763" w:rsidR="004B3EA0" w:rsidRPr="00833486" w:rsidRDefault="004B3EA0" w:rsidP="00913CD6">
      <w:r w:rsidRPr="00833486">
        <w:lastRenderedPageBreak/>
        <w:t>Table 3. Federal Poverty Level and Affordable Monthly Rent</w:t>
      </w:r>
    </w:p>
    <w:tbl>
      <w:tblPr>
        <w:tblW w:w="8048" w:type="dxa"/>
        <w:tblLook w:val="04A0" w:firstRow="1" w:lastRow="0" w:firstColumn="1" w:lastColumn="0" w:noHBand="0" w:noVBand="1"/>
      </w:tblPr>
      <w:tblGrid>
        <w:gridCol w:w="1528"/>
        <w:gridCol w:w="2199"/>
        <w:gridCol w:w="2062"/>
        <w:gridCol w:w="2259"/>
      </w:tblGrid>
      <w:tr w:rsidR="004B3EA0" w:rsidRPr="00833486" w14:paraId="3E5486EB" w14:textId="77777777" w:rsidTr="005D4B8B">
        <w:trPr>
          <w:trHeight w:val="847"/>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57B03"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Year</w:t>
            </w:r>
          </w:p>
        </w:tc>
        <w:tc>
          <w:tcPr>
            <w:tcW w:w="2199" w:type="dxa"/>
            <w:tcBorders>
              <w:top w:val="single" w:sz="4" w:space="0" w:color="auto"/>
              <w:left w:val="nil"/>
              <w:bottom w:val="single" w:sz="4" w:space="0" w:color="auto"/>
              <w:right w:val="single" w:sz="4" w:space="0" w:color="auto"/>
            </w:tcBorders>
            <w:shd w:val="clear" w:color="auto" w:fill="auto"/>
            <w:vAlign w:val="center"/>
            <w:hideMark/>
          </w:tcPr>
          <w:p w14:paraId="51DCD26B"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Federal Poverty Threshold</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1F8132C8"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150% of Poverty Level</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3A85E950" w14:textId="77777777" w:rsidR="004B3EA0" w:rsidRPr="00833486" w:rsidRDefault="004B3EA0" w:rsidP="004B3EA0">
            <w:pPr>
              <w:spacing w:after="0" w:line="240" w:lineRule="auto"/>
              <w:jc w:val="center"/>
              <w:rPr>
                <w:rFonts w:ascii="Calibri" w:eastAsia="Times New Roman" w:hAnsi="Calibri" w:cs="Calibri"/>
                <w:color w:val="000000"/>
              </w:rPr>
            </w:pPr>
            <w:r w:rsidRPr="00833486">
              <w:rPr>
                <w:rFonts w:ascii="Calibri" w:eastAsia="Times New Roman" w:hAnsi="Calibri" w:cs="Calibri"/>
                <w:color w:val="000000"/>
              </w:rPr>
              <w:t xml:space="preserve">Affordable Gross Monthly Rent </w:t>
            </w:r>
          </w:p>
        </w:tc>
      </w:tr>
      <w:tr w:rsidR="004B3EA0" w:rsidRPr="00833486" w14:paraId="0D4D98FB" w14:textId="77777777" w:rsidTr="005D4B8B">
        <w:trPr>
          <w:trHeight w:val="282"/>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4BC8AB94"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2007</w:t>
            </w:r>
          </w:p>
        </w:tc>
        <w:tc>
          <w:tcPr>
            <w:tcW w:w="2199" w:type="dxa"/>
            <w:tcBorders>
              <w:top w:val="nil"/>
              <w:left w:val="nil"/>
              <w:bottom w:val="single" w:sz="4" w:space="0" w:color="auto"/>
              <w:right w:val="single" w:sz="4" w:space="0" w:color="auto"/>
            </w:tcBorders>
            <w:shd w:val="clear" w:color="auto" w:fill="auto"/>
            <w:noWrap/>
            <w:vAlign w:val="bottom"/>
            <w:hideMark/>
          </w:tcPr>
          <w:p w14:paraId="6C6B2E2C"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21,203.00 </w:t>
            </w:r>
          </w:p>
        </w:tc>
        <w:tc>
          <w:tcPr>
            <w:tcW w:w="2062" w:type="dxa"/>
            <w:tcBorders>
              <w:top w:val="nil"/>
              <w:left w:val="nil"/>
              <w:bottom w:val="single" w:sz="4" w:space="0" w:color="auto"/>
              <w:right w:val="single" w:sz="4" w:space="0" w:color="auto"/>
            </w:tcBorders>
            <w:shd w:val="clear" w:color="auto" w:fill="auto"/>
            <w:noWrap/>
            <w:vAlign w:val="bottom"/>
            <w:hideMark/>
          </w:tcPr>
          <w:p w14:paraId="66D72CEB"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31,804.50 </w:t>
            </w:r>
          </w:p>
        </w:tc>
        <w:tc>
          <w:tcPr>
            <w:tcW w:w="2259" w:type="dxa"/>
            <w:tcBorders>
              <w:top w:val="nil"/>
              <w:left w:val="nil"/>
              <w:bottom w:val="single" w:sz="4" w:space="0" w:color="auto"/>
              <w:right w:val="single" w:sz="4" w:space="0" w:color="auto"/>
            </w:tcBorders>
            <w:shd w:val="clear" w:color="auto" w:fill="auto"/>
            <w:noWrap/>
            <w:vAlign w:val="bottom"/>
            <w:hideMark/>
          </w:tcPr>
          <w:p w14:paraId="67E3129A"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795.11 </w:t>
            </w:r>
          </w:p>
        </w:tc>
      </w:tr>
      <w:tr w:rsidR="004B3EA0" w:rsidRPr="00833486" w14:paraId="4E9F3DCA" w14:textId="77777777" w:rsidTr="005D4B8B">
        <w:trPr>
          <w:trHeight w:val="282"/>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74F29266"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2011</w:t>
            </w:r>
          </w:p>
        </w:tc>
        <w:tc>
          <w:tcPr>
            <w:tcW w:w="2199" w:type="dxa"/>
            <w:tcBorders>
              <w:top w:val="nil"/>
              <w:left w:val="nil"/>
              <w:bottom w:val="single" w:sz="4" w:space="0" w:color="auto"/>
              <w:right w:val="single" w:sz="4" w:space="0" w:color="auto"/>
            </w:tcBorders>
            <w:shd w:val="clear" w:color="auto" w:fill="auto"/>
            <w:noWrap/>
            <w:vAlign w:val="bottom"/>
            <w:hideMark/>
          </w:tcPr>
          <w:p w14:paraId="18E73C42"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23,021.00 </w:t>
            </w:r>
          </w:p>
        </w:tc>
        <w:tc>
          <w:tcPr>
            <w:tcW w:w="2062" w:type="dxa"/>
            <w:tcBorders>
              <w:top w:val="nil"/>
              <w:left w:val="nil"/>
              <w:bottom w:val="single" w:sz="4" w:space="0" w:color="auto"/>
              <w:right w:val="single" w:sz="4" w:space="0" w:color="auto"/>
            </w:tcBorders>
            <w:shd w:val="clear" w:color="auto" w:fill="auto"/>
            <w:noWrap/>
            <w:vAlign w:val="bottom"/>
            <w:hideMark/>
          </w:tcPr>
          <w:p w14:paraId="79FF6459"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34,531.50 </w:t>
            </w:r>
          </w:p>
        </w:tc>
        <w:tc>
          <w:tcPr>
            <w:tcW w:w="2259" w:type="dxa"/>
            <w:tcBorders>
              <w:top w:val="nil"/>
              <w:left w:val="nil"/>
              <w:bottom w:val="single" w:sz="4" w:space="0" w:color="auto"/>
              <w:right w:val="single" w:sz="4" w:space="0" w:color="auto"/>
            </w:tcBorders>
            <w:shd w:val="clear" w:color="auto" w:fill="auto"/>
            <w:noWrap/>
            <w:vAlign w:val="bottom"/>
            <w:hideMark/>
          </w:tcPr>
          <w:p w14:paraId="55B9A942"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863.29 </w:t>
            </w:r>
          </w:p>
        </w:tc>
      </w:tr>
      <w:tr w:rsidR="004B3EA0" w:rsidRPr="00833486" w14:paraId="0F1CC2D1" w14:textId="77777777" w:rsidTr="005D4B8B">
        <w:trPr>
          <w:trHeight w:val="282"/>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4E124F0A"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2012</w:t>
            </w:r>
          </w:p>
        </w:tc>
        <w:tc>
          <w:tcPr>
            <w:tcW w:w="2199" w:type="dxa"/>
            <w:tcBorders>
              <w:top w:val="nil"/>
              <w:left w:val="nil"/>
              <w:bottom w:val="single" w:sz="4" w:space="0" w:color="auto"/>
              <w:right w:val="single" w:sz="4" w:space="0" w:color="auto"/>
            </w:tcBorders>
            <w:shd w:val="clear" w:color="auto" w:fill="auto"/>
            <w:noWrap/>
            <w:vAlign w:val="bottom"/>
            <w:hideMark/>
          </w:tcPr>
          <w:p w14:paraId="2F6F189D"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23,492.00 </w:t>
            </w:r>
          </w:p>
        </w:tc>
        <w:tc>
          <w:tcPr>
            <w:tcW w:w="2062" w:type="dxa"/>
            <w:tcBorders>
              <w:top w:val="nil"/>
              <w:left w:val="nil"/>
              <w:bottom w:val="single" w:sz="4" w:space="0" w:color="auto"/>
              <w:right w:val="single" w:sz="4" w:space="0" w:color="auto"/>
            </w:tcBorders>
            <w:shd w:val="clear" w:color="auto" w:fill="auto"/>
            <w:noWrap/>
            <w:vAlign w:val="bottom"/>
            <w:hideMark/>
          </w:tcPr>
          <w:p w14:paraId="540FFAAD"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35,238.00 </w:t>
            </w:r>
          </w:p>
        </w:tc>
        <w:tc>
          <w:tcPr>
            <w:tcW w:w="2259" w:type="dxa"/>
            <w:tcBorders>
              <w:top w:val="nil"/>
              <w:left w:val="nil"/>
              <w:bottom w:val="single" w:sz="4" w:space="0" w:color="auto"/>
              <w:right w:val="single" w:sz="4" w:space="0" w:color="auto"/>
            </w:tcBorders>
            <w:shd w:val="clear" w:color="auto" w:fill="auto"/>
            <w:noWrap/>
            <w:vAlign w:val="bottom"/>
            <w:hideMark/>
          </w:tcPr>
          <w:p w14:paraId="0410AF2B"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880.95 </w:t>
            </w:r>
          </w:p>
        </w:tc>
      </w:tr>
      <w:tr w:rsidR="004B3EA0" w:rsidRPr="00833486" w14:paraId="5D421FC5" w14:textId="77777777" w:rsidTr="005D4B8B">
        <w:trPr>
          <w:trHeight w:val="282"/>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5D6A7642"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2013</w:t>
            </w:r>
          </w:p>
        </w:tc>
        <w:tc>
          <w:tcPr>
            <w:tcW w:w="2199" w:type="dxa"/>
            <w:tcBorders>
              <w:top w:val="nil"/>
              <w:left w:val="nil"/>
              <w:bottom w:val="single" w:sz="4" w:space="0" w:color="auto"/>
              <w:right w:val="single" w:sz="4" w:space="0" w:color="auto"/>
            </w:tcBorders>
            <w:shd w:val="clear" w:color="auto" w:fill="auto"/>
            <w:noWrap/>
            <w:vAlign w:val="bottom"/>
            <w:hideMark/>
          </w:tcPr>
          <w:p w14:paraId="5847B3DE"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23,844.00 </w:t>
            </w:r>
          </w:p>
        </w:tc>
        <w:tc>
          <w:tcPr>
            <w:tcW w:w="2062" w:type="dxa"/>
            <w:tcBorders>
              <w:top w:val="nil"/>
              <w:left w:val="nil"/>
              <w:bottom w:val="single" w:sz="4" w:space="0" w:color="auto"/>
              <w:right w:val="single" w:sz="4" w:space="0" w:color="auto"/>
            </w:tcBorders>
            <w:shd w:val="clear" w:color="auto" w:fill="auto"/>
            <w:noWrap/>
            <w:vAlign w:val="bottom"/>
            <w:hideMark/>
          </w:tcPr>
          <w:p w14:paraId="51CC2915"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35,766.00 </w:t>
            </w:r>
          </w:p>
        </w:tc>
        <w:tc>
          <w:tcPr>
            <w:tcW w:w="2259" w:type="dxa"/>
            <w:tcBorders>
              <w:top w:val="nil"/>
              <w:left w:val="nil"/>
              <w:bottom w:val="single" w:sz="4" w:space="0" w:color="auto"/>
              <w:right w:val="single" w:sz="4" w:space="0" w:color="auto"/>
            </w:tcBorders>
            <w:shd w:val="clear" w:color="auto" w:fill="auto"/>
            <w:noWrap/>
            <w:vAlign w:val="bottom"/>
            <w:hideMark/>
          </w:tcPr>
          <w:p w14:paraId="2050F7E0"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894.15 </w:t>
            </w:r>
          </w:p>
        </w:tc>
      </w:tr>
      <w:tr w:rsidR="004B3EA0" w:rsidRPr="00833486" w14:paraId="65B6FFB5" w14:textId="77777777" w:rsidTr="005D4B8B">
        <w:trPr>
          <w:trHeight w:val="282"/>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4CC9A8C6"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2014</w:t>
            </w:r>
          </w:p>
        </w:tc>
        <w:tc>
          <w:tcPr>
            <w:tcW w:w="2199" w:type="dxa"/>
            <w:tcBorders>
              <w:top w:val="nil"/>
              <w:left w:val="nil"/>
              <w:bottom w:val="single" w:sz="4" w:space="0" w:color="auto"/>
              <w:right w:val="single" w:sz="4" w:space="0" w:color="auto"/>
            </w:tcBorders>
            <w:shd w:val="clear" w:color="auto" w:fill="auto"/>
            <w:noWrap/>
            <w:vAlign w:val="bottom"/>
            <w:hideMark/>
          </w:tcPr>
          <w:p w14:paraId="6F5C9675"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24,230.00 </w:t>
            </w:r>
          </w:p>
        </w:tc>
        <w:tc>
          <w:tcPr>
            <w:tcW w:w="2062" w:type="dxa"/>
            <w:tcBorders>
              <w:top w:val="nil"/>
              <w:left w:val="nil"/>
              <w:bottom w:val="single" w:sz="4" w:space="0" w:color="auto"/>
              <w:right w:val="single" w:sz="4" w:space="0" w:color="auto"/>
            </w:tcBorders>
            <w:shd w:val="clear" w:color="auto" w:fill="auto"/>
            <w:noWrap/>
            <w:vAlign w:val="bottom"/>
            <w:hideMark/>
          </w:tcPr>
          <w:p w14:paraId="4E05013C"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36,345.00 </w:t>
            </w:r>
          </w:p>
        </w:tc>
        <w:tc>
          <w:tcPr>
            <w:tcW w:w="2259" w:type="dxa"/>
            <w:tcBorders>
              <w:top w:val="nil"/>
              <w:left w:val="nil"/>
              <w:bottom w:val="single" w:sz="4" w:space="0" w:color="auto"/>
              <w:right w:val="single" w:sz="4" w:space="0" w:color="auto"/>
            </w:tcBorders>
            <w:shd w:val="clear" w:color="auto" w:fill="auto"/>
            <w:noWrap/>
            <w:vAlign w:val="bottom"/>
            <w:hideMark/>
          </w:tcPr>
          <w:p w14:paraId="310D4905"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908.63 </w:t>
            </w:r>
          </w:p>
        </w:tc>
      </w:tr>
      <w:tr w:rsidR="004B3EA0" w:rsidRPr="00833486" w14:paraId="339CC62D" w14:textId="77777777" w:rsidTr="005D4B8B">
        <w:trPr>
          <w:trHeight w:val="282"/>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387CBA1E"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2015</w:t>
            </w:r>
          </w:p>
        </w:tc>
        <w:tc>
          <w:tcPr>
            <w:tcW w:w="2199" w:type="dxa"/>
            <w:tcBorders>
              <w:top w:val="nil"/>
              <w:left w:val="nil"/>
              <w:bottom w:val="single" w:sz="4" w:space="0" w:color="auto"/>
              <w:right w:val="single" w:sz="4" w:space="0" w:color="auto"/>
            </w:tcBorders>
            <w:shd w:val="clear" w:color="auto" w:fill="auto"/>
            <w:noWrap/>
            <w:vAlign w:val="bottom"/>
            <w:hideMark/>
          </w:tcPr>
          <w:p w14:paraId="23FCD1F0"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24,257.00 </w:t>
            </w:r>
          </w:p>
        </w:tc>
        <w:tc>
          <w:tcPr>
            <w:tcW w:w="2062" w:type="dxa"/>
            <w:tcBorders>
              <w:top w:val="nil"/>
              <w:left w:val="nil"/>
              <w:bottom w:val="single" w:sz="4" w:space="0" w:color="auto"/>
              <w:right w:val="single" w:sz="4" w:space="0" w:color="auto"/>
            </w:tcBorders>
            <w:shd w:val="clear" w:color="auto" w:fill="auto"/>
            <w:noWrap/>
            <w:vAlign w:val="bottom"/>
            <w:hideMark/>
          </w:tcPr>
          <w:p w14:paraId="350EB124"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36,385.50 </w:t>
            </w:r>
          </w:p>
        </w:tc>
        <w:tc>
          <w:tcPr>
            <w:tcW w:w="2259" w:type="dxa"/>
            <w:tcBorders>
              <w:top w:val="nil"/>
              <w:left w:val="nil"/>
              <w:bottom w:val="single" w:sz="4" w:space="0" w:color="auto"/>
              <w:right w:val="single" w:sz="4" w:space="0" w:color="auto"/>
            </w:tcBorders>
            <w:shd w:val="clear" w:color="auto" w:fill="auto"/>
            <w:noWrap/>
            <w:vAlign w:val="bottom"/>
            <w:hideMark/>
          </w:tcPr>
          <w:p w14:paraId="0FAE7A76"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909.64 </w:t>
            </w:r>
          </w:p>
        </w:tc>
      </w:tr>
      <w:tr w:rsidR="004B3EA0" w:rsidRPr="00833486" w14:paraId="74C1BE34" w14:textId="77777777" w:rsidTr="005D4B8B">
        <w:trPr>
          <w:trHeight w:val="282"/>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86DD" w14:textId="77777777" w:rsidR="004B3EA0" w:rsidRPr="00833486" w:rsidRDefault="004B3EA0" w:rsidP="004B3EA0">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2016</w:t>
            </w:r>
          </w:p>
        </w:tc>
        <w:tc>
          <w:tcPr>
            <w:tcW w:w="2199" w:type="dxa"/>
            <w:tcBorders>
              <w:top w:val="single" w:sz="4" w:space="0" w:color="auto"/>
              <w:left w:val="nil"/>
              <w:bottom w:val="single" w:sz="4" w:space="0" w:color="auto"/>
              <w:right w:val="single" w:sz="4" w:space="0" w:color="auto"/>
            </w:tcBorders>
            <w:shd w:val="clear" w:color="auto" w:fill="auto"/>
            <w:noWrap/>
            <w:vAlign w:val="bottom"/>
            <w:hideMark/>
          </w:tcPr>
          <w:p w14:paraId="58218FF2"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24,563.00 </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14:paraId="1A9C1194"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36,844.50 </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705B2C5C" w14:textId="77777777" w:rsidR="004B3EA0" w:rsidRPr="00833486" w:rsidRDefault="004B3EA0" w:rsidP="004B3EA0">
            <w:pPr>
              <w:spacing w:after="0" w:line="240" w:lineRule="auto"/>
              <w:rPr>
                <w:rFonts w:ascii="Calibri" w:eastAsia="Times New Roman" w:hAnsi="Calibri" w:cs="Calibri"/>
                <w:color w:val="000000"/>
              </w:rPr>
            </w:pPr>
            <w:r w:rsidRPr="00833486">
              <w:rPr>
                <w:rFonts w:ascii="Calibri" w:eastAsia="Times New Roman" w:hAnsi="Calibri" w:cs="Calibri"/>
                <w:color w:val="000000"/>
              </w:rPr>
              <w:t xml:space="preserve"> $                 921.11 </w:t>
            </w:r>
          </w:p>
        </w:tc>
      </w:tr>
      <w:tr w:rsidR="00C64D2D" w:rsidRPr="00833486" w14:paraId="64E0B7FF" w14:textId="77777777" w:rsidTr="005D4B8B">
        <w:trPr>
          <w:trHeight w:val="282"/>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CF61A" w14:textId="6D5340B3" w:rsidR="00C64D2D" w:rsidRPr="00833486" w:rsidRDefault="00C64D2D" w:rsidP="00C64D2D">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2017</w:t>
            </w:r>
          </w:p>
        </w:tc>
        <w:tc>
          <w:tcPr>
            <w:tcW w:w="21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A0C47" w14:textId="32C131FD" w:rsidR="00C64D2D" w:rsidRPr="00833486" w:rsidRDefault="00C64D2D" w:rsidP="005D4B8B">
            <w:pPr>
              <w:spacing w:after="0" w:line="240" w:lineRule="auto"/>
              <w:rPr>
                <w:rFonts w:ascii="Calibri" w:eastAsia="Times New Roman" w:hAnsi="Calibri" w:cs="Calibri"/>
                <w:color w:val="000000"/>
              </w:rPr>
            </w:pPr>
            <w:r w:rsidRPr="00833486">
              <w:rPr>
                <w:rFonts w:ascii="Calibri" w:hAnsi="Calibri" w:cs="Calibri"/>
                <w:color w:val="000000"/>
              </w:rPr>
              <w:t xml:space="preserve"> </w:t>
            </w:r>
            <w:r w:rsidR="005D4B8B" w:rsidRPr="00833486">
              <w:rPr>
                <w:rFonts w:ascii="Calibri" w:hAnsi="Calibri" w:cs="Calibri"/>
                <w:color w:val="000000"/>
              </w:rPr>
              <w:t xml:space="preserve">$           25,094.00                </w:t>
            </w:r>
          </w:p>
        </w:tc>
        <w:tc>
          <w:tcPr>
            <w:tcW w:w="2062" w:type="dxa"/>
            <w:tcBorders>
              <w:top w:val="single" w:sz="4" w:space="0" w:color="auto"/>
              <w:left w:val="nil"/>
              <w:bottom w:val="single" w:sz="4" w:space="0" w:color="auto"/>
              <w:right w:val="single" w:sz="4" w:space="0" w:color="auto"/>
            </w:tcBorders>
            <w:shd w:val="clear" w:color="auto" w:fill="auto"/>
            <w:noWrap/>
            <w:vAlign w:val="bottom"/>
          </w:tcPr>
          <w:p w14:paraId="08A5C88D" w14:textId="60D9B95D" w:rsidR="00C64D2D" w:rsidRPr="00833486" w:rsidRDefault="00C64D2D" w:rsidP="005D4B8B">
            <w:pPr>
              <w:spacing w:after="0" w:line="240" w:lineRule="auto"/>
              <w:rPr>
                <w:rFonts w:ascii="Calibri" w:eastAsia="Times New Roman" w:hAnsi="Calibri" w:cs="Calibri"/>
                <w:color w:val="000000"/>
              </w:rPr>
            </w:pPr>
            <w:r w:rsidRPr="00833486">
              <w:rPr>
                <w:rFonts w:ascii="Calibri" w:hAnsi="Calibri" w:cs="Calibri"/>
                <w:color w:val="000000"/>
              </w:rPr>
              <w:t xml:space="preserve"> $           </w:t>
            </w:r>
            <w:r w:rsidR="005D4B8B" w:rsidRPr="00833486">
              <w:rPr>
                <w:rFonts w:ascii="Calibri" w:hAnsi="Calibri" w:cs="Calibri"/>
                <w:color w:val="000000"/>
              </w:rPr>
              <w:t>37,641.00</w:t>
            </w:r>
            <w:r w:rsidRPr="00833486">
              <w:rPr>
                <w:rFonts w:ascii="Calibri" w:hAnsi="Calibri" w:cs="Calibri"/>
                <w:color w:val="000000"/>
              </w:rPr>
              <w:t xml:space="preserve">           </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5B0B8B02" w14:textId="2AFBF610" w:rsidR="00C64D2D" w:rsidRPr="00833486" w:rsidRDefault="00C64D2D" w:rsidP="005D4B8B">
            <w:pPr>
              <w:spacing w:after="0" w:line="240" w:lineRule="auto"/>
              <w:rPr>
                <w:rFonts w:ascii="Calibri" w:eastAsia="Times New Roman" w:hAnsi="Calibri" w:cs="Calibri"/>
                <w:color w:val="000000"/>
              </w:rPr>
            </w:pPr>
            <w:r w:rsidRPr="00833486">
              <w:rPr>
                <w:rFonts w:ascii="Calibri" w:hAnsi="Calibri" w:cs="Calibri"/>
                <w:color w:val="000000"/>
              </w:rPr>
              <w:t xml:space="preserve"> $                 </w:t>
            </w:r>
            <w:r w:rsidR="005D4B8B" w:rsidRPr="00833486">
              <w:rPr>
                <w:rFonts w:ascii="Calibri" w:hAnsi="Calibri" w:cs="Calibri"/>
                <w:color w:val="000000"/>
              </w:rPr>
              <w:t>941.00</w:t>
            </w:r>
            <w:r w:rsidRPr="00833486">
              <w:rPr>
                <w:rFonts w:ascii="Calibri" w:hAnsi="Calibri" w:cs="Calibri"/>
                <w:color w:val="000000"/>
              </w:rPr>
              <w:t xml:space="preserve">                               </w:t>
            </w:r>
          </w:p>
        </w:tc>
      </w:tr>
      <w:tr w:rsidR="00E345B8" w:rsidRPr="00833486" w14:paraId="0141220E" w14:textId="77777777" w:rsidTr="005D4B8B">
        <w:trPr>
          <w:trHeight w:val="282"/>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EFDF2" w14:textId="1D363CD2" w:rsidR="00E345B8" w:rsidRPr="00833486" w:rsidRDefault="00E345B8" w:rsidP="00E345B8">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2018</w:t>
            </w:r>
          </w:p>
        </w:tc>
        <w:tc>
          <w:tcPr>
            <w:tcW w:w="21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0D633" w14:textId="01CBDDC8" w:rsidR="00E345B8" w:rsidRPr="00833486" w:rsidRDefault="00E345B8" w:rsidP="00E345B8">
            <w:pPr>
              <w:spacing w:after="0" w:line="240" w:lineRule="auto"/>
              <w:rPr>
                <w:rFonts w:ascii="Calibri" w:hAnsi="Calibri" w:cs="Calibri"/>
                <w:color w:val="000000"/>
              </w:rPr>
            </w:pPr>
            <w:r w:rsidRPr="00833486">
              <w:rPr>
                <w:rFonts w:ascii="Calibri" w:hAnsi="Calibri" w:cs="Calibri"/>
                <w:color w:val="000000"/>
              </w:rPr>
              <w:t xml:space="preserve">$            25,701.00 </w:t>
            </w:r>
          </w:p>
        </w:tc>
        <w:tc>
          <w:tcPr>
            <w:tcW w:w="2062" w:type="dxa"/>
            <w:tcBorders>
              <w:top w:val="single" w:sz="4" w:space="0" w:color="auto"/>
              <w:left w:val="nil"/>
              <w:bottom w:val="single" w:sz="4" w:space="0" w:color="auto"/>
              <w:right w:val="single" w:sz="4" w:space="0" w:color="auto"/>
            </w:tcBorders>
            <w:shd w:val="clear" w:color="auto" w:fill="auto"/>
            <w:noWrap/>
            <w:vAlign w:val="bottom"/>
          </w:tcPr>
          <w:p w14:paraId="76063F96" w14:textId="36BC6657" w:rsidR="00E345B8" w:rsidRPr="00833486" w:rsidRDefault="00E345B8" w:rsidP="00E345B8">
            <w:pPr>
              <w:spacing w:after="0" w:line="240" w:lineRule="auto"/>
              <w:rPr>
                <w:rFonts w:ascii="Calibri" w:hAnsi="Calibri" w:cs="Calibri"/>
                <w:color w:val="000000"/>
              </w:rPr>
            </w:pPr>
            <w:r w:rsidRPr="00833486">
              <w:rPr>
                <w:rFonts w:ascii="Calibri" w:hAnsi="Calibri" w:cs="Calibri"/>
                <w:color w:val="000000"/>
              </w:rPr>
              <w:t xml:space="preserve"> $           38,551.50           </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68C24E42" w14:textId="020D1C38" w:rsidR="00E345B8" w:rsidRPr="00833486" w:rsidRDefault="00E345B8" w:rsidP="00E345B8">
            <w:pPr>
              <w:spacing w:after="0" w:line="240" w:lineRule="auto"/>
              <w:rPr>
                <w:rFonts w:ascii="Calibri" w:hAnsi="Calibri" w:cs="Calibri"/>
                <w:color w:val="000000"/>
              </w:rPr>
            </w:pPr>
            <w:r w:rsidRPr="00833486">
              <w:rPr>
                <w:rFonts w:ascii="Calibri" w:hAnsi="Calibri" w:cs="Calibri"/>
                <w:color w:val="000000"/>
              </w:rPr>
              <w:t xml:space="preserve"> $                 964.00                               </w:t>
            </w:r>
          </w:p>
        </w:tc>
      </w:tr>
      <w:tr w:rsidR="00E345B8" w:rsidRPr="00833486" w14:paraId="5497F78E" w14:textId="77777777" w:rsidTr="005D4B8B">
        <w:trPr>
          <w:trHeight w:val="282"/>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961C1" w14:textId="5084CED4" w:rsidR="00E345B8" w:rsidRPr="00833486" w:rsidRDefault="00E345B8" w:rsidP="00E345B8">
            <w:pPr>
              <w:spacing w:after="0" w:line="240" w:lineRule="auto"/>
              <w:jc w:val="right"/>
              <w:rPr>
                <w:rFonts w:ascii="Calibri" w:eastAsia="Times New Roman" w:hAnsi="Calibri" w:cs="Calibri"/>
                <w:color w:val="000000"/>
              </w:rPr>
            </w:pPr>
            <w:r w:rsidRPr="00833486">
              <w:rPr>
                <w:rFonts w:ascii="Calibri" w:eastAsia="Times New Roman" w:hAnsi="Calibri" w:cs="Calibri"/>
                <w:color w:val="000000"/>
              </w:rPr>
              <w:t>2019</w:t>
            </w:r>
          </w:p>
        </w:tc>
        <w:tc>
          <w:tcPr>
            <w:tcW w:w="21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7DFE2" w14:textId="2C9391C7" w:rsidR="00E345B8" w:rsidRPr="00833486" w:rsidRDefault="00E345B8" w:rsidP="00E345B8">
            <w:pPr>
              <w:spacing w:after="0" w:line="240" w:lineRule="auto"/>
              <w:rPr>
                <w:rFonts w:ascii="Calibri" w:hAnsi="Calibri" w:cs="Calibri"/>
                <w:color w:val="000000"/>
              </w:rPr>
            </w:pPr>
            <w:r w:rsidRPr="00833486">
              <w:rPr>
                <w:rFonts w:ascii="Calibri" w:hAnsi="Calibri" w:cs="Calibri"/>
                <w:color w:val="000000"/>
              </w:rPr>
              <w:t xml:space="preserve">$            26,172.00 </w:t>
            </w:r>
          </w:p>
        </w:tc>
        <w:tc>
          <w:tcPr>
            <w:tcW w:w="2062" w:type="dxa"/>
            <w:tcBorders>
              <w:top w:val="single" w:sz="4" w:space="0" w:color="auto"/>
              <w:left w:val="nil"/>
              <w:bottom w:val="single" w:sz="4" w:space="0" w:color="auto"/>
              <w:right w:val="single" w:sz="4" w:space="0" w:color="auto"/>
            </w:tcBorders>
            <w:shd w:val="clear" w:color="auto" w:fill="auto"/>
            <w:noWrap/>
            <w:vAlign w:val="bottom"/>
          </w:tcPr>
          <w:p w14:paraId="66C4D8D6" w14:textId="2A6AD255" w:rsidR="00E345B8" w:rsidRPr="00833486" w:rsidRDefault="00E345B8" w:rsidP="00E345B8">
            <w:pPr>
              <w:spacing w:after="0" w:line="240" w:lineRule="auto"/>
              <w:rPr>
                <w:rFonts w:ascii="Calibri" w:hAnsi="Calibri" w:cs="Calibri"/>
                <w:color w:val="000000"/>
              </w:rPr>
            </w:pPr>
            <w:r w:rsidRPr="00833486">
              <w:rPr>
                <w:rFonts w:ascii="Calibri" w:hAnsi="Calibri" w:cs="Calibri"/>
                <w:color w:val="000000"/>
              </w:rPr>
              <w:t xml:space="preserve"> $           39,258.00           </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28BF792A" w14:textId="498FF645" w:rsidR="00E345B8" w:rsidRPr="00833486" w:rsidRDefault="00E345B8" w:rsidP="00E345B8">
            <w:pPr>
              <w:spacing w:after="0" w:line="240" w:lineRule="auto"/>
              <w:rPr>
                <w:rFonts w:ascii="Calibri" w:hAnsi="Calibri" w:cs="Calibri"/>
                <w:color w:val="000000"/>
              </w:rPr>
            </w:pPr>
            <w:r w:rsidRPr="00833486">
              <w:rPr>
                <w:rFonts w:ascii="Calibri" w:hAnsi="Calibri" w:cs="Calibri"/>
                <w:color w:val="000000"/>
              </w:rPr>
              <w:t xml:space="preserve"> $                 981.00                               </w:t>
            </w:r>
          </w:p>
        </w:tc>
      </w:tr>
    </w:tbl>
    <w:p w14:paraId="47AAC99A" w14:textId="3D71CA28" w:rsidR="00D52FC5" w:rsidRPr="004B3EA0" w:rsidRDefault="004B3EA0" w:rsidP="004B3EA0">
      <w:r w:rsidRPr="00833486">
        <w:rPr>
          <w:rFonts w:ascii="Calibri" w:eastAsia="Times New Roman" w:hAnsi="Calibri" w:cs="Times New Roman"/>
          <w:color w:val="000000"/>
          <w:sz w:val="18"/>
          <w:szCs w:val="18"/>
        </w:rPr>
        <w:t>Source: US Census Bureau, 2007, 2011-</w:t>
      </w:r>
      <w:r w:rsidR="003D5989" w:rsidRPr="00833486">
        <w:rPr>
          <w:rFonts w:ascii="Calibri" w:eastAsia="Times New Roman" w:hAnsi="Calibri" w:cs="Times New Roman"/>
          <w:color w:val="000000"/>
          <w:sz w:val="18"/>
          <w:szCs w:val="18"/>
        </w:rPr>
        <w:t>201</w:t>
      </w:r>
      <w:r w:rsidR="00E345B8" w:rsidRPr="00833486">
        <w:rPr>
          <w:rFonts w:ascii="Calibri" w:eastAsia="Times New Roman" w:hAnsi="Calibri" w:cs="Times New Roman"/>
          <w:color w:val="000000"/>
          <w:sz w:val="18"/>
          <w:szCs w:val="18"/>
        </w:rPr>
        <w:t>9</w:t>
      </w:r>
    </w:p>
    <w:sectPr w:rsidR="00D52FC5" w:rsidRPr="004B3EA0" w:rsidSect="005140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0C08" w14:textId="77777777" w:rsidR="00F53F80" w:rsidRDefault="00F53F80" w:rsidP="00917ED6">
      <w:pPr>
        <w:spacing w:after="0" w:line="240" w:lineRule="auto"/>
      </w:pPr>
      <w:r>
        <w:separator/>
      </w:r>
    </w:p>
  </w:endnote>
  <w:endnote w:type="continuationSeparator" w:id="0">
    <w:p w14:paraId="57675827" w14:textId="77777777" w:rsidR="00F53F80" w:rsidRDefault="00F53F80" w:rsidP="0091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bson Light">
    <w:panose1 w:val="02000000000000000000"/>
    <w:charset w:val="00"/>
    <w:family w:val="modern"/>
    <w:notTrueType/>
    <w:pitch w:val="variable"/>
    <w:sig w:usb0="A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id w:val="-518625476"/>
      <w:docPartObj>
        <w:docPartGallery w:val="Page Numbers (Bottom of Page)"/>
        <w:docPartUnique/>
      </w:docPartObj>
    </w:sdtPr>
    <w:sdtEndPr>
      <w:rPr>
        <w:noProof/>
      </w:rPr>
    </w:sdtEndPr>
    <w:sdtContent>
      <w:p w14:paraId="15C0AB5E" w14:textId="399F5CC4" w:rsidR="002614D0" w:rsidRPr="00A90E87" w:rsidRDefault="002614D0">
        <w:pPr>
          <w:pStyle w:val="Footer"/>
          <w:rPr>
            <w:color w:val="7F7F7F" w:themeColor="text1" w:themeTint="80"/>
          </w:rPr>
        </w:pPr>
        <w:r w:rsidRPr="00A90E87">
          <w:rPr>
            <w:color w:val="7F7F7F" w:themeColor="text1" w:themeTint="80"/>
          </w:rPr>
          <w:fldChar w:fldCharType="begin"/>
        </w:r>
        <w:r w:rsidRPr="00A90E87">
          <w:rPr>
            <w:color w:val="7F7F7F" w:themeColor="text1" w:themeTint="80"/>
          </w:rPr>
          <w:instrText xml:space="preserve"> PAGE   \* MERGEFORMAT </w:instrText>
        </w:r>
        <w:r w:rsidRPr="00A90E87">
          <w:rPr>
            <w:color w:val="7F7F7F" w:themeColor="text1" w:themeTint="80"/>
          </w:rPr>
          <w:fldChar w:fldCharType="separate"/>
        </w:r>
        <w:r w:rsidR="00C30097">
          <w:rPr>
            <w:noProof/>
            <w:color w:val="7F7F7F" w:themeColor="text1" w:themeTint="80"/>
          </w:rPr>
          <w:t>1</w:t>
        </w:r>
        <w:r w:rsidRPr="00A90E87">
          <w:rPr>
            <w:noProof/>
            <w:color w:val="7F7F7F" w:themeColor="text1" w:themeTint="80"/>
          </w:rPr>
          <w:fldChar w:fldCharType="end"/>
        </w:r>
        <w:r w:rsidRPr="00A90E87">
          <w:rPr>
            <w:noProof/>
            <w:color w:val="7F7F7F" w:themeColor="text1" w:themeTint="80"/>
          </w:rPr>
          <w:tab/>
        </w:r>
        <w:r w:rsidRPr="00A90E87">
          <w:rPr>
            <w:noProof/>
            <w:color w:val="7F7F7F" w:themeColor="text1" w:themeTint="80"/>
          </w:rPr>
          <w:tab/>
        </w:r>
        <w:r w:rsidRPr="00A90E87">
          <w:rPr>
            <w:rFonts w:ascii="Gibson Light" w:hAnsi="Gibson Light"/>
            <w:b/>
            <w:noProof/>
            <w:color w:val="7F7F7F" w:themeColor="text1" w:themeTint="80"/>
            <w:sz w:val="18"/>
            <w:szCs w:val="18"/>
          </w:rPr>
          <w:t>INSTITUTE FOR HOUSING STUDIES</w:t>
        </w:r>
      </w:p>
    </w:sdtContent>
  </w:sdt>
  <w:p w14:paraId="1B7AE45B" w14:textId="77777777" w:rsidR="002614D0" w:rsidRPr="00A90E87" w:rsidRDefault="002614D0">
    <w:pPr>
      <w:pStyle w:val="Footer"/>
      <w:rPr>
        <w:rFonts w:ascii="Gibson Light" w:hAnsi="Gibson Light"/>
        <w:b/>
        <w:caps/>
        <w:color w:val="7F7F7F" w:themeColor="text1" w:themeTint="80"/>
        <w:sz w:val="18"/>
        <w:szCs w:val="18"/>
      </w:rPr>
    </w:pPr>
    <w:r w:rsidRPr="00A90E87">
      <w:rPr>
        <w:rFonts w:ascii="Gibson Light" w:hAnsi="Gibson Light"/>
        <w:caps/>
        <w:color w:val="7F7F7F" w:themeColor="text1" w:themeTint="80"/>
        <w:sz w:val="18"/>
        <w:szCs w:val="18"/>
      </w:rPr>
      <w:tab/>
    </w:r>
    <w:r w:rsidRPr="00A90E87">
      <w:rPr>
        <w:rFonts w:ascii="Gibson Light" w:hAnsi="Gibson Light"/>
        <w:caps/>
        <w:color w:val="7F7F7F" w:themeColor="text1" w:themeTint="80"/>
        <w:sz w:val="18"/>
        <w:szCs w:val="18"/>
      </w:rPr>
      <w:tab/>
    </w:r>
    <w:r w:rsidRPr="00A90E87">
      <w:rPr>
        <w:rFonts w:ascii="Gibson Light" w:hAnsi="Gibson Light"/>
        <w:b/>
        <w:caps/>
        <w:color w:val="7F7F7F" w:themeColor="text1" w:themeTint="80"/>
        <w:sz w:val="18"/>
        <w:szCs w:val="18"/>
      </w:rPr>
      <w:t>HOUSINGSTUDIES.ORG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60B7" w14:textId="77777777" w:rsidR="00F53F80" w:rsidRDefault="00F53F80" w:rsidP="00917ED6">
      <w:pPr>
        <w:spacing w:after="0" w:line="240" w:lineRule="auto"/>
      </w:pPr>
      <w:r>
        <w:separator/>
      </w:r>
    </w:p>
  </w:footnote>
  <w:footnote w:type="continuationSeparator" w:id="0">
    <w:p w14:paraId="52997EBA" w14:textId="77777777" w:rsidR="00F53F80" w:rsidRDefault="00F53F80" w:rsidP="00917ED6">
      <w:pPr>
        <w:spacing w:after="0" w:line="240" w:lineRule="auto"/>
      </w:pPr>
      <w:r>
        <w:continuationSeparator/>
      </w:r>
    </w:p>
  </w:footnote>
  <w:footnote w:id="1">
    <w:p w14:paraId="2EF5EB77" w14:textId="212C02CC" w:rsidR="00913CD6" w:rsidRPr="00913CD6" w:rsidRDefault="00913CD6" w:rsidP="00913CD6">
      <w:pPr>
        <w:pStyle w:val="FootnoteText"/>
      </w:pPr>
      <w:r w:rsidRPr="00833486">
        <w:rPr>
          <w:rStyle w:val="FootnoteReference"/>
        </w:rPr>
        <w:footnoteRef/>
      </w:r>
      <w:r w:rsidRPr="00833486">
        <w:t xml:space="preserve"> Joint Center for Housing Studies of Harvard University. </w:t>
      </w:r>
      <w:r w:rsidR="002C1F08" w:rsidRPr="00833486">
        <w:t>The St</w:t>
      </w:r>
      <w:r w:rsidR="00E345B8" w:rsidRPr="00833486">
        <w:t>ate of the Nation’s Housing 2021. Cambridge, MA, 2021</w:t>
      </w:r>
      <w:r w:rsidRPr="00833486">
        <w:t xml:space="preserve">. </w:t>
      </w:r>
      <w:r w:rsidR="00E345B8" w:rsidRPr="00C30097">
        <w:t>https://www.jchs.harvard.edu/state-nations-housing-2021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5AD6" w14:textId="77777777" w:rsidR="002614D0" w:rsidRDefault="002614D0">
    <w:pPr>
      <w:pStyle w:val="Header"/>
    </w:pPr>
    <w:r>
      <w:rPr>
        <w:noProof/>
      </w:rPr>
      <w:drawing>
        <wp:inline distT="0" distB="0" distL="0" distR="0" wp14:anchorId="6532EB2A" wp14:editId="6D74A54A">
          <wp:extent cx="1528141"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_Logo_Vert.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1551327" cy="396450"/>
                  </a:xfrm>
                  <a:prstGeom prst="rect">
                    <a:avLst/>
                  </a:prstGeom>
                </pic:spPr>
              </pic:pic>
            </a:graphicData>
          </a:graphic>
        </wp:inline>
      </w:drawing>
    </w:r>
  </w:p>
  <w:p w14:paraId="2FFF9F02" w14:textId="77777777" w:rsidR="002614D0" w:rsidRDefault="002614D0">
    <w:pPr>
      <w:pStyle w:val="Header"/>
    </w:pPr>
  </w:p>
  <w:p w14:paraId="7C83CC57" w14:textId="77777777" w:rsidR="002614D0" w:rsidRDefault="0026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CE0"/>
    <w:multiLevelType w:val="hybridMultilevel"/>
    <w:tmpl w:val="EE5C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C75BB"/>
    <w:multiLevelType w:val="hybridMultilevel"/>
    <w:tmpl w:val="ACE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E3B20"/>
    <w:multiLevelType w:val="hybridMultilevel"/>
    <w:tmpl w:val="D1E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F353F"/>
    <w:multiLevelType w:val="hybridMultilevel"/>
    <w:tmpl w:val="205E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0667E"/>
    <w:multiLevelType w:val="hybridMultilevel"/>
    <w:tmpl w:val="5530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57D1E"/>
    <w:multiLevelType w:val="hybridMultilevel"/>
    <w:tmpl w:val="5D7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E15B0"/>
    <w:multiLevelType w:val="hybridMultilevel"/>
    <w:tmpl w:val="6ED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A7D71"/>
    <w:multiLevelType w:val="hybridMultilevel"/>
    <w:tmpl w:val="560A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50476"/>
    <w:multiLevelType w:val="hybridMultilevel"/>
    <w:tmpl w:val="C32C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23823"/>
    <w:multiLevelType w:val="hybridMultilevel"/>
    <w:tmpl w:val="64A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033C8"/>
    <w:multiLevelType w:val="hybridMultilevel"/>
    <w:tmpl w:val="8BD83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11307"/>
    <w:multiLevelType w:val="hybridMultilevel"/>
    <w:tmpl w:val="65CA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10D00"/>
    <w:multiLevelType w:val="hybridMultilevel"/>
    <w:tmpl w:val="C6D20F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24C6"/>
    <w:multiLevelType w:val="hybridMultilevel"/>
    <w:tmpl w:val="EDC2E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02B2D"/>
    <w:multiLevelType w:val="hybridMultilevel"/>
    <w:tmpl w:val="EBD8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82050"/>
    <w:multiLevelType w:val="hybridMultilevel"/>
    <w:tmpl w:val="935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26C41"/>
    <w:multiLevelType w:val="hybridMultilevel"/>
    <w:tmpl w:val="B5D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34000"/>
    <w:multiLevelType w:val="hybridMultilevel"/>
    <w:tmpl w:val="103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B2661"/>
    <w:multiLevelType w:val="hybridMultilevel"/>
    <w:tmpl w:val="3984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7332C"/>
    <w:multiLevelType w:val="hybridMultilevel"/>
    <w:tmpl w:val="1C0A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B5FBA"/>
    <w:multiLevelType w:val="hybridMultilevel"/>
    <w:tmpl w:val="4A98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63280"/>
    <w:multiLevelType w:val="hybridMultilevel"/>
    <w:tmpl w:val="19D4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62650"/>
    <w:multiLevelType w:val="hybridMultilevel"/>
    <w:tmpl w:val="157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75760"/>
    <w:multiLevelType w:val="hybridMultilevel"/>
    <w:tmpl w:val="9E0E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E198F"/>
    <w:multiLevelType w:val="hybridMultilevel"/>
    <w:tmpl w:val="92E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E52A6"/>
    <w:multiLevelType w:val="hybridMultilevel"/>
    <w:tmpl w:val="1094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65825"/>
    <w:multiLevelType w:val="hybridMultilevel"/>
    <w:tmpl w:val="E0F6B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E6945"/>
    <w:multiLevelType w:val="hybridMultilevel"/>
    <w:tmpl w:val="A6F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03F61"/>
    <w:multiLevelType w:val="hybridMultilevel"/>
    <w:tmpl w:val="791C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2"/>
  </w:num>
  <w:num w:numId="4">
    <w:abstractNumId w:val="7"/>
  </w:num>
  <w:num w:numId="5">
    <w:abstractNumId w:val="25"/>
  </w:num>
  <w:num w:numId="6">
    <w:abstractNumId w:val="12"/>
  </w:num>
  <w:num w:numId="7">
    <w:abstractNumId w:val="27"/>
  </w:num>
  <w:num w:numId="8">
    <w:abstractNumId w:val="26"/>
  </w:num>
  <w:num w:numId="9">
    <w:abstractNumId w:val="15"/>
  </w:num>
  <w:num w:numId="10">
    <w:abstractNumId w:val="18"/>
  </w:num>
  <w:num w:numId="11">
    <w:abstractNumId w:val="24"/>
  </w:num>
  <w:num w:numId="12">
    <w:abstractNumId w:val="19"/>
  </w:num>
  <w:num w:numId="13">
    <w:abstractNumId w:val="21"/>
  </w:num>
  <w:num w:numId="14">
    <w:abstractNumId w:val="20"/>
  </w:num>
  <w:num w:numId="15">
    <w:abstractNumId w:val="3"/>
  </w:num>
  <w:num w:numId="16">
    <w:abstractNumId w:val="5"/>
  </w:num>
  <w:num w:numId="17">
    <w:abstractNumId w:val="17"/>
  </w:num>
  <w:num w:numId="18">
    <w:abstractNumId w:val="9"/>
  </w:num>
  <w:num w:numId="19">
    <w:abstractNumId w:val="1"/>
  </w:num>
  <w:num w:numId="20">
    <w:abstractNumId w:val="11"/>
  </w:num>
  <w:num w:numId="21">
    <w:abstractNumId w:val="2"/>
  </w:num>
  <w:num w:numId="22">
    <w:abstractNumId w:val="14"/>
  </w:num>
  <w:num w:numId="23">
    <w:abstractNumId w:val="8"/>
  </w:num>
  <w:num w:numId="24">
    <w:abstractNumId w:val="0"/>
  </w:num>
  <w:num w:numId="25">
    <w:abstractNumId w:val="6"/>
  </w:num>
  <w:num w:numId="26">
    <w:abstractNumId w:val="16"/>
  </w:num>
  <w:num w:numId="27">
    <w:abstractNumId w:val="23"/>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7E"/>
    <w:rsid w:val="00000D87"/>
    <w:rsid w:val="00000E6A"/>
    <w:rsid w:val="00011F21"/>
    <w:rsid w:val="00052AD7"/>
    <w:rsid w:val="00054311"/>
    <w:rsid w:val="00061825"/>
    <w:rsid w:val="00067363"/>
    <w:rsid w:val="00090BEA"/>
    <w:rsid w:val="00093D08"/>
    <w:rsid w:val="000A5B7C"/>
    <w:rsid w:val="000D3655"/>
    <w:rsid w:val="000D694D"/>
    <w:rsid w:val="000D774C"/>
    <w:rsid w:val="000E2F4F"/>
    <w:rsid w:val="000F2745"/>
    <w:rsid w:val="000F6B14"/>
    <w:rsid w:val="00107F26"/>
    <w:rsid w:val="0011538C"/>
    <w:rsid w:val="00120E9F"/>
    <w:rsid w:val="001245B2"/>
    <w:rsid w:val="00137F67"/>
    <w:rsid w:val="00147085"/>
    <w:rsid w:val="00165012"/>
    <w:rsid w:val="0018248A"/>
    <w:rsid w:val="00183713"/>
    <w:rsid w:val="001873C9"/>
    <w:rsid w:val="00191AD1"/>
    <w:rsid w:val="00194EB0"/>
    <w:rsid w:val="00196F28"/>
    <w:rsid w:val="001B7A29"/>
    <w:rsid w:val="001C1D46"/>
    <w:rsid w:val="00204745"/>
    <w:rsid w:val="002074A5"/>
    <w:rsid w:val="00222566"/>
    <w:rsid w:val="002248D5"/>
    <w:rsid w:val="00247BAB"/>
    <w:rsid w:val="00256EE3"/>
    <w:rsid w:val="002614D0"/>
    <w:rsid w:val="002643EB"/>
    <w:rsid w:val="0028117E"/>
    <w:rsid w:val="002907F2"/>
    <w:rsid w:val="00295B61"/>
    <w:rsid w:val="002A58EA"/>
    <w:rsid w:val="002B2020"/>
    <w:rsid w:val="002C04AC"/>
    <w:rsid w:val="002C1F08"/>
    <w:rsid w:val="002C6A5B"/>
    <w:rsid w:val="002D0EA3"/>
    <w:rsid w:val="002F6EA2"/>
    <w:rsid w:val="00324ABA"/>
    <w:rsid w:val="00336DE2"/>
    <w:rsid w:val="00344B5F"/>
    <w:rsid w:val="00350939"/>
    <w:rsid w:val="0038085A"/>
    <w:rsid w:val="003A762D"/>
    <w:rsid w:val="003B14B1"/>
    <w:rsid w:val="003B2CAB"/>
    <w:rsid w:val="003B7BA7"/>
    <w:rsid w:val="003C2890"/>
    <w:rsid w:val="003D5989"/>
    <w:rsid w:val="003D5B2F"/>
    <w:rsid w:val="003D6C4E"/>
    <w:rsid w:val="003F0AA9"/>
    <w:rsid w:val="00400CB5"/>
    <w:rsid w:val="00406E80"/>
    <w:rsid w:val="00422CAC"/>
    <w:rsid w:val="00452381"/>
    <w:rsid w:val="004552B8"/>
    <w:rsid w:val="00470854"/>
    <w:rsid w:val="00471BFA"/>
    <w:rsid w:val="004745C6"/>
    <w:rsid w:val="00474AEA"/>
    <w:rsid w:val="00475595"/>
    <w:rsid w:val="00493B70"/>
    <w:rsid w:val="00495DF4"/>
    <w:rsid w:val="004A5A5E"/>
    <w:rsid w:val="004A64AB"/>
    <w:rsid w:val="004B157B"/>
    <w:rsid w:val="004B3EA0"/>
    <w:rsid w:val="004B65C2"/>
    <w:rsid w:val="004C630A"/>
    <w:rsid w:val="004D3733"/>
    <w:rsid w:val="004E1E60"/>
    <w:rsid w:val="004F279D"/>
    <w:rsid w:val="004F42F0"/>
    <w:rsid w:val="004F79AB"/>
    <w:rsid w:val="00506009"/>
    <w:rsid w:val="00512849"/>
    <w:rsid w:val="005140C2"/>
    <w:rsid w:val="005235AA"/>
    <w:rsid w:val="0053561F"/>
    <w:rsid w:val="00573A76"/>
    <w:rsid w:val="0058008A"/>
    <w:rsid w:val="00597D18"/>
    <w:rsid w:val="005C0C67"/>
    <w:rsid w:val="005C2B6E"/>
    <w:rsid w:val="005D03B3"/>
    <w:rsid w:val="005D2B4C"/>
    <w:rsid w:val="005D4B8B"/>
    <w:rsid w:val="005E7C2D"/>
    <w:rsid w:val="005F49FB"/>
    <w:rsid w:val="00601E48"/>
    <w:rsid w:val="006102E4"/>
    <w:rsid w:val="006126D3"/>
    <w:rsid w:val="00613B94"/>
    <w:rsid w:val="006224D8"/>
    <w:rsid w:val="0062432E"/>
    <w:rsid w:val="00627FAB"/>
    <w:rsid w:val="00642E77"/>
    <w:rsid w:val="0065075D"/>
    <w:rsid w:val="006545AF"/>
    <w:rsid w:val="00663996"/>
    <w:rsid w:val="00671DB3"/>
    <w:rsid w:val="006920B3"/>
    <w:rsid w:val="006B761A"/>
    <w:rsid w:val="006B7CAD"/>
    <w:rsid w:val="006D3F73"/>
    <w:rsid w:val="006E5799"/>
    <w:rsid w:val="006E6829"/>
    <w:rsid w:val="006F402A"/>
    <w:rsid w:val="006F5DC2"/>
    <w:rsid w:val="00703DBE"/>
    <w:rsid w:val="00711A1D"/>
    <w:rsid w:val="00722DA1"/>
    <w:rsid w:val="00733F3E"/>
    <w:rsid w:val="00737CE6"/>
    <w:rsid w:val="007453BE"/>
    <w:rsid w:val="00762F2F"/>
    <w:rsid w:val="00767AAF"/>
    <w:rsid w:val="00784317"/>
    <w:rsid w:val="007850BE"/>
    <w:rsid w:val="007B4054"/>
    <w:rsid w:val="007B70B7"/>
    <w:rsid w:val="007C20D5"/>
    <w:rsid w:val="007D173F"/>
    <w:rsid w:val="007D4659"/>
    <w:rsid w:val="007E4C0A"/>
    <w:rsid w:val="007F31B0"/>
    <w:rsid w:val="008008C2"/>
    <w:rsid w:val="0081115A"/>
    <w:rsid w:val="0081432F"/>
    <w:rsid w:val="00833486"/>
    <w:rsid w:val="00850F19"/>
    <w:rsid w:val="00855934"/>
    <w:rsid w:val="00857257"/>
    <w:rsid w:val="00867218"/>
    <w:rsid w:val="008816A0"/>
    <w:rsid w:val="00883A62"/>
    <w:rsid w:val="0088500F"/>
    <w:rsid w:val="00887E8A"/>
    <w:rsid w:val="008A3656"/>
    <w:rsid w:val="008A3681"/>
    <w:rsid w:val="008A3D12"/>
    <w:rsid w:val="008A7221"/>
    <w:rsid w:val="008B6636"/>
    <w:rsid w:val="008C6871"/>
    <w:rsid w:val="008D00F2"/>
    <w:rsid w:val="008F16D2"/>
    <w:rsid w:val="00902829"/>
    <w:rsid w:val="00913CD6"/>
    <w:rsid w:val="00913EFF"/>
    <w:rsid w:val="00917ED6"/>
    <w:rsid w:val="00930677"/>
    <w:rsid w:val="00937C78"/>
    <w:rsid w:val="009404AB"/>
    <w:rsid w:val="00940FA7"/>
    <w:rsid w:val="00942BA0"/>
    <w:rsid w:val="00950B0D"/>
    <w:rsid w:val="009678B6"/>
    <w:rsid w:val="0097374B"/>
    <w:rsid w:val="00975753"/>
    <w:rsid w:val="00976A68"/>
    <w:rsid w:val="00981FB1"/>
    <w:rsid w:val="00982880"/>
    <w:rsid w:val="00990C2D"/>
    <w:rsid w:val="00990E90"/>
    <w:rsid w:val="00990F96"/>
    <w:rsid w:val="00991F0F"/>
    <w:rsid w:val="009949AC"/>
    <w:rsid w:val="0099759C"/>
    <w:rsid w:val="009A3EC6"/>
    <w:rsid w:val="009A4971"/>
    <w:rsid w:val="009B53A9"/>
    <w:rsid w:val="009C1903"/>
    <w:rsid w:val="009E2C65"/>
    <w:rsid w:val="009E4D99"/>
    <w:rsid w:val="009E6137"/>
    <w:rsid w:val="009E7084"/>
    <w:rsid w:val="009F603C"/>
    <w:rsid w:val="00A05304"/>
    <w:rsid w:val="00A1114F"/>
    <w:rsid w:val="00A21C04"/>
    <w:rsid w:val="00A26137"/>
    <w:rsid w:val="00A32762"/>
    <w:rsid w:val="00A503E2"/>
    <w:rsid w:val="00A50CA4"/>
    <w:rsid w:val="00A807C1"/>
    <w:rsid w:val="00A8198D"/>
    <w:rsid w:val="00A90E87"/>
    <w:rsid w:val="00A92FD0"/>
    <w:rsid w:val="00A9634A"/>
    <w:rsid w:val="00AA231A"/>
    <w:rsid w:val="00AA4797"/>
    <w:rsid w:val="00AA69EA"/>
    <w:rsid w:val="00AB5E79"/>
    <w:rsid w:val="00AC0354"/>
    <w:rsid w:val="00AC3881"/>
    <w:rsid w:val="00AD0544"/>
    <w:rsid w:val="00AF0881"/>
    <w:rsid w:val="00AF1756"/>
    <w:rsid w:val="00AF69F6"/>
    <w:rsid w:val="00B30E57"/>
    <w:rsid w:val="00B3342A"/>
    <w:rsid w:val="00B53DE9"/>
    <w:rsid w:val="00B572E6"/>
    <w:rsid w:val="00B71A06"/>
    <w:rsid w:val="00B72D43"/>
    <w:rsid w:val="00B82209"/>
    <w:rsid w:val="00B84FB7"/>
    <w:rsid w:val="00B91CB6"/>
    <w:rsid w:val="00B97BAB"/>
    <w:rsid w:val="00BA4634"/>
    <w:rsid w:val="00BC7F44"/>
    <w:rsid w:val="00BE7AEF"/>
    <w:rsid w:val="00BF508C"/>
    <w:rsid w:val="00C10822"/>
    <w:rsid w:val="00C1357E"/>
    <w:rsid w:val="00C30097"/>
    <w:rsid w:val="00C31583"/>
    <w:rsid w:val="00C530D9"/>
    <w:rsid w:val="00C64D2D"/>
    <w:rsid w:val="00C7395C"/>
    <w:rsid w:val="00C80BFD"/>
    <w:rsid w:val="00C901C6"/>
    <w:rsid w:val="00C9194B"/>
    <w:rsid w:val="00C95720"/>
    <w:rsid w:val="00CB0A21"/>
    <w:rsid w:val="00CC35BE"/>
    <w:rsid w:val="00CD668E"/>
    <w:rsid w:val="00CE050B"/>
    <w:rsid w:val="00CE4A25"/>
    <w:rsid w:val="00D117DD"/>
    <w:rsid w:val="00D12645"/>
    <w:rsid w:val="00D24489"/>
    <w:rsid w:val="00D3620D"/>
    <w:rsid w:val="00D424FB"/>
    <w:rsid w:val="00D4368C"/>
    <w:rsid w:val="00D43C10"/>
    <w:rsid w:val="00D52FC5"/>
    <w:rsid w:val="00D542C9"/>
    <w:rsid w:val="00D62137"/>
    <w:rsid w:val="00D658D7"/>
    <w:rsid w:val="00D703D3"/>
    <w:rsid w:val="00D80F00"/>
    <w:rsid w:val="00D84A02"/>
    <w:rsid w:val="00DB5A45"/>
    <w:rsid w:val="00DF234B"/>
    <w:rsid w:val="00DF7317"/>
    <w:rsid w:val="00E0089E"/>
    <w:rsid w:val="00E1209C"/>
    <w:rsid w:val="00E16A97"/>
    <w:rsid w:val="00E345B8"/>
    <w:rsid w:val="00E43772"/>
    <w:rsid w:val="00E43F8E"/>
    <w:rsid w:val="00E46278"/>
    <w:rsid w:val="00E47230"/>
    <w:rsid w:val="00E712A6"/>
    <w:rsid w:val="00E73BC4"/>
    <w:rsid w:val="00E935DD"/>
    <w:rsid w:val="00EA133A"/>
    <w:rsid w:val="00EC7BEE"/>
    <w:rsid w:val="00ED13FD"/>
    <w:rsid w:val="00EE5C3B"/>
    <w:rsid w:val="00EF103F"/>
    <w:rsid w:val="00F017A4"/>
    <w:rsid w:val="00F2436D"/>
    <w:rsid w:val="00F24806"/>
    <w:rsid w:val="00F47CC6"/>
    <w:rsid w:val="00F50528"/>
    <w:rsid w:val="00F511E5"/>
    <w:rsid w:val="00F51A6F"/>
    <w:rsid w:val="00F53F80"/>
    <w:rsid w:val="00F54D90"/>
    <w:rsid w:val="00F66205"/>
    <w:rsid w:val="00F72C46"/>
    <w:rsid w:val="00F8484A"/>
    <w:rsid w:val="00FA343D"/>
    <w:rsid w:val="00FB7218"/>
    <w:rsid w:val="00FB7863"/>
    <w:rsid w:val="00FC48F4"/>
    <w:rsid w:val="00FC6812"/>
    <w:rsid w:val="00FC7A6E"/>
    <w:rsid w:val="00FE0361"/>
    <w:rsid w:val="00FE0859"/>
    <w:rsid w:val="00FE09A8"/>
    <w:rsid w:val="00FF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0821A"/>
  <w15:docId w15:val="{12F208FA-72F8-4BD3-8FE8-B87A4AE7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B94"/>
  </w:style>
  <w:style w:type="paragraph" w:styleId="Heading1">
    <w:name w:val="heading 1"/>
    <w:basedOn w:val="Normal"/>
    <w:next w:val="Normal"/>
    <w:link w:val="Heading1Char"/>
    <w:uiPriority w:val="9"/>
    <w:qFormat/>
    <w:rsid w:val="00506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0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61"/>
    <w:pPr>
      <w:ind w:left="720"/>
      <w:contextualSpacing/>
    </w:pPr>
  </w:style>
  <w:style w:type="paragraph" w:styleId="BalloonText">
    <w:name w:val="Balloon Text"/>
    <w:basedOn w:val="Normal"/>
    <w:link w:val="BalloonTextChar"/>
    <w:uiPriority w:val="99"/>
    <w:semiHidden/>
    <w:unhideWhenUsed/>
    <w:rsid w:val="00FE0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859"/>
    <w:rPr>
      <w:rFonts w:ascii="Segoe UI" w:hAnsi="Segoe UI" w:cs="Segoe UI"/>
      <w:sz w:val="18"/>
      <w:szCs w:val="18"/>
    </w:rPr>
  </w:style>
  <w:style w:type="paragraph" w:styleId="Header">
    <w:name w:val="header"/>
    <w:basedOn w:val="Normal"/>
    <w:link w:val="HeaderChar"/>
    <w:uiPriority w:val="99"/>
    <w:unhideWhenUsed/>
    <w:rsid w:val="0091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D6"/>
  </w:style>
  <w:style w:type="paragraph" w:styleId="Footer">
    <w:name w:val="footer"/>
    <w:basedOn w:val="Normal"/>
    <w:link w:val="FooterChar"/>
    <w:uiPriority w:val="99"/>
    <w:unhideWhenUsed/>
    <w:rsid w:val="0091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D6"/>
  </w:style>
  <w:style w:type="character" w:styleId="CommentReference">
    <w:name w:val="annotation reference"/>
    <w:basedOn w:val="DefaultParagraphFont"/>
    <w:uiPriority w:val="99"/>
    <w:semiHidden/>
    <w:unhideWhenUsed/>
    <w:rsid w:val="002D0EA3"/>
    <w:rPr>
      <w:sz w:val="16"/>
      <w:szCs w:val="16"/>
    </w:rPr>
  </w:style>
  <w:style w:type="paragraph" w:styleId="CommentText">
    <w:name w:val="annotation text"/>
    <w:basedOn w:val="Normal"/>
    <w:link w:val="CommentTextChar"/>
    <w:uiPriority w:val="99"/>
    <w:semiHidden/>
    <w:unhideWhenUsed/>
    <w:rsid w:val="002D0EA3"/>
    <w:pPr>
      <w:spacing w:line="240" w:lineRule="auto"/>
    </w:pPr>
    <w:rPr>
      <w:sz w:val="20"/>
      <w:szCs w:val="20"/>
    </w:rPr>
  </w:style>
  <w:style w:type="character" w:customStyle="1" w:styleId="CommentTextChar">
    <w:name w:val="Comment Text Char"/>
    <w:basedOn w:val="DefaultParagraphFont"/>
    <w:link w:val="CommentText"/>
    <w:uiPriority w:val="99"/>
    <w:semiHidden/>
    <w:rsid w:val="002D0EA3"/>
    <w:rPr>
      <w:sz w:val="20"/>
      <w:szCs w:val="20"/>
    </w:rPr>
  </w:style>
  <w:style w:type="paragraph" w:styleId="CommentSubject">
    <w:name w:val="annotation subject"/>
    <w:basedOn w:val="CommentText"/>
    <w:next w:val="CommentText"/>
    <w:link w:val="CommentSubjectChar"/>
    <w:uiPriority w:val="99"/>
    <w:semiHidden/>
    <w:unhideWhenUsed/>
    <w:rsid w:val="002D0EA3"/>
    <w:rPr>
      <w:b/>
      <w:bCs/>
    </w:rPr>
  </w:style>
  <w:style w:type="character" w:customStyle="1" w:styleId="CommentSubjectChar">
    <w:name w:val="Comment Subject Char"/>
    <w:basedOn w:val="CommentTextChar"/>
    <w:link w:val="CommentSubject"/>
    <w:uiPriority w:val="99"/>
    <w:semiHidden/>
    <w:rsid w:val="002D0EA3"/>
    <w:rPr>
      <w:b/>
      <w:bCs/>
      <w:sz w:val="20"/>
      <w:szCs w:val="20"/>
    </w:rPr>
  </w:style>
  <w:style w:type="paragraph" w:styleId="Revision">
    <w:name w:val="Revision"/>
    <w:hidden/>
    <w:uiPriority w:val="99"/>
    <w:semiHidden/>
    <w:rsid w:val="002D0EA3"/>
    <w:pPr>
      <w:spacing w:after="0" w:line="240" w:lineRule="auto"/>
    </w:pPr>
  </w:style>
  <w:style w:type="table" w:styleId="TableGrid">
    <w:name w:val="Table Grid"/>
    <w:basedOn w:val="TableNormal"/>
    <w:uiPriority w:val="59"/>
    <w:rsid w:val="005D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03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2614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120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257"/>
  </w:style>
  <w:style w:type="paragraph" w:styleId="FootnoteText">
    <w:name w:val="footnote text"/>
    <w:basedOn w:val="Normal"/>
    <w:link w:val="FootnoteTextChar"/>
    <w:uiPriority w:val="99"/>
    <w:semiHidden/>
    <w:unhideWhenUsed/>
    <w:rsid w:val="00857257"/>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857257"/>
    <w:rPr>
      <w:rFonts w:eastAsiaTheme="minorEastAsia"/>
      <w:sz w:val="20"/>
      <w:szCs w:val="20"/>
      <w:lang w:eastAsia="zh-CN"/>
    </w:rPr>
  </w:style>
  <w:style w:type="character" w:styleId="FootnoteReference">
    <w:name w:val="footnote reference"/>
    <w:basedOn w:val="DefaultParagraphFont"/>
    <w:uiPriority w:val="99"/>
    <w:semiHidden/>
    <w:unhideWhenUsed/>
    <w:rsid w:val="00857257"/>
    <w:rPr>
      <w:vertAlign w:val="superscript"/>
    </w:rPr>
  </w:style>
  <w:style w:type="character" w:styleId="Strong">
    <w:name w:val="Strong"/>
    <w:basedOn w:val="DefaultParagraphFont"/>
    <w:uiPriority w:val="22"/>
    <w:qFormat/>
    <w:rsid w:val="00506009"/>
    <w:rPr>
      <w:b/>
      <w:bCs/>
    </w:rPr>
  </w:style>
  <w:style w:type="character" w:customStyle="1" w:styleId="Heading1Char">
    <w:name w:val="Heading 1 Char"/>
    <w:basedOn w:val="DefaultParagraphFont"/>
    <w:link w:val="Heading1"/>
    <w:uiPriority w:val="9"/>
    <w:rsid w:val="00506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00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56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EE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56EE3"/>
    <w:rPr>
      <w:i/>
      <w:iCs/>
    </w:rPr>
  </w:style>
  <w:style w:type="character" w:styleId="IntenseEmphasis">
    <w:name w:val="Intense Emphasis"/>
    <w:basedOn w:val="DefaultParagraphFont"/>
    <w:uiPriority w:val="21"/>
    <w:qFormat/>
    <w:rsid w:val="00982880"/>
    <w:rPr>
      <w:b/>
      <w:bCs/>
      <w:i/>
      <w:iCs/>
      <w:color w:val="4F81BD" w:themeColor="accent1"/>
    </w:rPr>
  </w:style>
  <w:style w:type="paragraph" w:styleId="TOCHeading">
    <w:name w:val="TOC Heading"/>
    <w:basedOn w:val="Heading1"/>
    <w:next w:val="Normal"/>
    <w:uiPriority w:val="39"/>
    <w:unhideWhenUsed/>
    <w:qFormat/>
    <w:rsid w:val="004A5A5E"/>
    <w:pPr>
      <w:outlineLvl w:val="9"/>
    </w:pPr>
    <w:rPr>
      <w:lang w:eastAsia="ja-JP"/>
    </w:rPr>
  </w:style>
  <w:style w:type="paragraph" w:styleId="TOC2">
    <w:name w:val="toc 2"/>
    <w:basedOn w:val="Normal"/>
    <w:next w:val="Normal"/>
    <w:autoRedefine/>
    <w:uiPriority w:val="39"/>
    <w:semiHidden/>
    <w:unhideWhenUsed/>
    <w:qFormat/>
    <w:rsid w:val="004A5A5E"/>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4A5A5E"/>
    <w:pPr>
      <w:spacing w:after="100"/>
    </w:pPr>
    <w:rPr>
      <w:rFonts w:eastAsiaTheme="minorEastAsia"/>
      <w:lang w:eastAsia="ja-JP"/>
    </w:rPr>
  </w:style>
  <w:style w:type="paragraph" w:styleId="TOC3">
    <w:name w:val="toc 3"/>
    <w:basedOn w:val="Normal"/>
    <w:next w:val="Normal"/>
    <w:autoRedefine/>
    <w:uiPriority w:val="39"/>
    <w:semiHidden/>
    <w:unhideWhenUsed/>
    <w:qFormat/>
    <w:rsid w:val="004A5A5E"/>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087">
      <w:bodyDiv w:val="1"/>
      <w:marLeft w:val="0"/>
      <w:marRight w:val="0"/>
      <w:marTop w:val="0"/>
      <w:marBottom w:val="0"/>
      <w:divBdr>
        <w:top w:val="none" w:sz="0" w:space="0" w:color="auto"/>
        <w:left w:val="none" w:sz="0" w:space="0" w:color="auto"/>
        <w:bottom w:val="none" w:sz="0" w:space="0" w:color="auto"/>
        <w:right w:val="none" w:sz="0" w:space="0" w:color="auto"/>
      </w:divBdr>
    </w:div>
    <w:div w:id="325206089">
      <w:bodyDiv w:val="1"/>
      <w:marLeft w:val="0"/>
      <w:marRight w:val="0"/>
      <w:marTop w:val="0"/>
      <w:marBottom w:val="0"/>
      <w:divBdr>
        <w:top w:val="none" w:sz="0" w:space="0" w:color="auto"/>
        <w:left w:val="none" w:sz="0" w:space="0" w:color="auto"/>
        <w:bottom w:val="none" w:sz="0" w:space="0" w:color="auto"/>
        <w:right w:val="none" w:sz="0" w:space="0" w:color="auto"/>
      </w:divBdr>
    </w:div>
    <w:div w:id="650594983">
      <w:bodyDiv w:val="1"/>
      <w:marLeft w:val="0"/>
      <w:marRight w:val="0"/>
      <w:marTop w:val="0"/>
      <w:marBottom w:val="0"/>
      <w:divBdr>
        <w:top w:val="none" w:sz="0" w:space="0" w:color="auto"/>
        <w:left w:val="none" w:sz="0" w:space="0" w:color="auto"/>
        <w:bottom w:val="none" w:sz="0" w:space="0" w:color="auto"/>
        <w:right w:val="none" w:sz="0" w:space="0" w:color="auto"/>
      </w:divBdr>
    </w:div>
    <w:div w:id="718017798">
      <w:bodyDiv w:val="1"/>
      <w:marLeft w:val="0"/>
      <w:marRight w:val="0"/>
      <w:marTop w:val="0"/>
      <w:marBottom w:val="0"/>
      <w:divBdr>
        <w:top w:val="none" w:sz="0" w:space="0" w:color="auto"/>
        <w:left w:val="none" w:sz="0" w:space="0" w:color="auto"/>
        <w:bottom w:val="none" w:sz="0" w:space="0" w:color="auto"/>
        <w:right w:val="none" w:sz="0" w:space="0" w:color="auto"/>
      </w:divBdr>
    </w:div>
    <w:div w:id="795680132">
      <w:bodyDiv w:val="1"/>
      <w:marLeft w:val="0"/>
      <w:marRight w:val="0"/>
      <w:marTop w:val="0"/>
      <w:marBottom w:val="0"/>
      <w:divBdr>
        <w:top w:val="none" w:sz="0" w:space="0" w:color="auto"/>
        <w:left w:val="none" w:sz="0" w:space="0" w:color="auto"/>
        <w:bottom w:val="none" w:sz="0" w:space="0" w:color="auto"/>
        <w:right w:val="none" w:sz="0" w:space="0" w:color="auto"/>
      </w:divBdr>
    </w:div>
    <w:div w:id="1105809270">
      <w:bodyDiv w:val="1"/>
      <w:marLeft w:val="0"/>
      <w:marRight w:val="0"/>
      <w:marTop w:val="0"/>
      <w:marBottom w:val="0"/>
      <w:divBdr>
        <w:top w:val="none" w:sz="0" w:space="0" w:color="auto"/>
        <w:left w:val="none" w:sz="0" w:space="0" w:color="auto"/>
        <w:bottom w:val="none" w:sz="0" w:space="0" w:color="auto"/>
        <w:right w:val="none" w:sz="0" w:space="0" w:color="auto"/>
      </w:divBdr>
    </w:div>
    <w:div w:id="1169950408">
      <w:bodyDiv w:val="1"/>
      <w:marLeft w:val="0"/>
      <w:marRight w:val="0"/>
      <w:marTop w:val="0"/>
      <w:marBottom w:val="0"/>
      <w:divBdr>
        <w:top w:val="none" w:sz="0" w:space="0" w:color="auto"/>
        <w:left w:val="none" w:sz="0" w:space="0" w:color="auto"/>
        <w:bottom w:val="none" w:sz="0" w:space="0" w:color="auto"/>
        <w:right w:val="none" w:sz="0" w:space="0" w:color="auto"/>
      </w:divBdr>
    </w:div>
    <w:div w:id="1357190912">
      <w:bodyDiv w:val="1"/>
      <w:marLeft w:val="0"/>
      <w:marRight w:val="0"/>
      <w:marTop w:val="0"/>
      <w:marBottom w:val="0"/>
      <w:divBdr>
        <w:top w:val="none" w:sz="0" w:space="0" w:color="auto"/>
        <w:left w:val="none" w:sz="0" w:space="0" w:color="auto"/>
        <w:bottom w:val="none" w:sz="0" w:space="0" w:color="auto"/>
        <w:right w:val="none" w:sz="0" w:space="0" w:color="auto"/>
      </w:divBdr>
    </w:div>
    <w:div w:id="15644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367C7-171C-4AB9-892F-CE49B210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DePaul University</dc:creator>
  <cp:lastModifiedBy>Wang, Jessie</cp:lastModifiedBy>
  <cp:revision>4</cp:revision>
  <cp:lastPrinted>2016-05-10T21:39:00Z</cp:lastPrinted>
  <dcterms:created xsi:type="dcterms:W3CDTF">2021-08-30T16:20:00Z</dcterms:created>
  <dcterms:modified xsi:type="dcterms:W3CDTF">2021-09-27T15:26:00Z</dcterms:modified>
</cp:coreProperties>
</file>